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770"/>
        <w:gridCol w:w="5310"/>
        <w:gridCol w:w="6840"/>
        <w:gridCol w:w="90"/>
      </w:tblGrid>
      <w:tr w:rsidR="00F365BC" w:rsidRPr="004A7212" w:rsidTr="00F365BC">
        <w:trPr>
          <w:gridAfter w:val="1"/>
          <w:wAfter w:w="90" w:type="dxa"/>
          <w:tblHeader/>
        </w:trPr>
        <w:tc>
          <w:tcPr>
            <w:tcW w:w="21888" w:type="dxa"/>
            <w:gridSpan w:val="4"/>
            <w:tcBorders>
              <w:top w:val="nil"/>
              <w:left w:val="nil"/>
              <w:bottom w:val="single" w:sz="4" w:space="0" w:color="auto"/>
              <w:right w:val="nil"/>
            </w:tcBorders>
          </w:tcPr>
          <w:p w:rsidR="00F365BC" w:rsidRPr="00F90938" w:rsidRDefault="00F365BC" w:rsidP="00F543A7">
            <w:pPr>
              <w:spacing w:after="0"/>
              <w:rPr>
                <w:rFonts w:asciiTheme="minorHAnsi" w:hAnsiTheme="minorHAnsi" w:cstheme="minorHAnsi"/>
                <w:b/>
                <w:sz w:val="28"/>
                <w:szCs w:val="28"/>
              </w:rPr>
            </w:pPr>
            <w:r w:rsidRPr="00F90938">
              <w:rPr>
                <w:rFonts w:asciiTheme="minorHAnsi" w:hAnsiTheme="minorHAnsi" w:cstheme="minorHAnsi"/>
                <w:b/>
                <w:sz w:val="28"/>
                <w:szCs w:val="28"/>
              </w:rPr>
              <w:t>Sustainability Summit</w:t>
            </w:r>
          </w:p>
          <w:p w:rsidR="00F365BC" w:rsidRDefault="00F365BC" w:rsidP="00F543A7">
            <w:pPr>
              <w:spacing w:after="0"/>
              <w:rPr>
                <w:rFonts w:asciiTheme="minorHAnsi" w:hAnsiTheme="minorHAnsi" w:cstheme="minorHAnsi"/>
                <w:b/>
                <w:sz w:val="28"/>
                <w:szCs w:val="28"/>
              </w:rPr>
            </w:pPr>
            <w:r>
              <w:rPr>
                <w:rFonts w:asciiTheme="minorHAnsi" w:hAnsiTheme="minorHAnsi" w:cstheme="minorHAnsi"/>
                <w:b/>
                <w:sz w:val="28"/>
                <w:szCs w:val="28"/>
              </w:rPr>
              <w:t>Water Infrastructures</w:t>
            </w:r>
            <w:r w:rsidRPr="00F90938">
              <w:rPr>
                <w:rFonts w:asciiTheme="minorHAnsi" w:hAnsiTheme="minorHAnsi" w:cstheme="minorHAnsi"/>
                <w:b/>
                <w:sz w:val="28"/>
                <w:szCs w:val="28"/>
              </w:rPr>
              <w:t>:  Participant Feedback Sheet</w:t>
            </w:r>
            <w:r>
              <w:rPr>
                <w:rFonts w:asciiTheme="minorHAnsi" w:hAnsiTheme="minorHAnsi" w:cstheme="minorHAnsi"/>
                <w:b/>
                <w:sz w:val="28"/>
                <w:szCs w:val="28"/>
              </w:rPr>
              <w:t xml:space="preserve">          </w:t>
            </w:r>
            <w:r>
              <w:rPr>
                <w:rFonts w:asciiTheme="minorHAnsi" w:hAnsiTheme="minorHAnsi" w:cstheme="minorHAnsi"/>
                <w:b/>
                <w:sz w:val="28"/>
                <w:szCs w:val="28"/>
              </w:rPr>
              <w:t xml:space="preserve">                                                                                                                             </w:t>
            </w:r>
            <w:bookmarkStart w:id="0" w:name="_GoBack"/>
            <w:bookmarkEnd w:id="0"/>
            <w:r>
              <w:rPr>
                <w:rFonts w:asciiTheme="minorHAnsi" w:hAnsiTheme="minorHAnsi" w:cstheme="minorHAnsi"/>
                <w:b/>
                <w:sz w:val="28"/>
                <w:szCs w:val="28"/>
              </w:rPr>
              <w:t xml:space="preserve">  Name______________________________________________</w:t>
            </w:r>
          </w:p>
          <w:p w:rsidR="00F365BC" w:rsidRPr="00380F9A" w:rsidRDefault="00F365BC" w:rsidP="00F543A7">
            <w:pPr>
              <w:spacing w:after="0"/>
              <w:rPr>
                <w:sz w:val="28"/>
              </w:rPr>
            </w:pPr>
            <w:r>
              <w:rPr>
                <w:rFonts w:asciiTheme="minorHAnsi" w:hAnsiTheme="minorHAnsi" w:cstheme="minorHAnsi"/>
                <w:b/>
                <w:sz w:val="28"/>
                <w:szCs w:val="28"/>
              </w:rPr>
              <w:t xml:space="preserve">                                      </w:t>
            </w:r>
          </w:p>
        </w:tc>
      </w:tr>
      <w:tr w:rsidR="00F365BC" w:rsidRPr="004A7212" w:rsidTr="00F543A7">
        <w:trPr>
          <w:trHeight w:val="476"/>
          <w:tblHeader/>
        </w:trPr>
        <w:tc>
          <w:tcPr>
            <w:tcW w:w="4968" w:type="dxa"/>
            <w:tcBorders>
              <w:left w:val="single" w:sz="4" w:space="0" w:color="auto"/>
              <w:bottom w:val="single" w:sz="4" w:space="0" w:color="auto"/>
              <w:right w:val="single" w:sz="4" w:space="0" w:color="auto"/>
            </w:tcBorders>
            <w:shd w:val="clear" w:color="auto" w:fill="A6A6A6" w:themeFill="background1" w:themeFillShade="A6"/>
          </w:tcPr>
          <w:p w:rsidR="00F365BC" w:rsidRPr="00380F9A" w:rsidRDefault="00F365BC" w:rsidP="00F543A7">
            <w:pPr>
              <w:spacing w:after="0"/>
              <w:jc w:val="center"/>
              <w:rPr>
                <w:rFonts w:asciiTheme="minorHAnsi" w:hAnsiTheme="minorHAnsi" w:cstheme="minorHAnsi"/>
                <w:b/>
                <w:sz w:val="28"/>
                <w:szCs w:val="20"/>
              </w:rPr>
            </w:pPr>
            <w:r w:rsidRPr="00380F9A">
              <w:rPr>
                <w:rFonts w:asciiTheme="minorHAnsi" w:hAnsiTheme="minorHAnsi" w:cstheme="minorHAnsi"/>
                <w:b/>
                <w:sz w:val="28"/>
                <w:szCs w:val="20"/>
              </w:rPr>
              <w:t>Definition</w:t>
            </w:r>
          </w:p>
        </w:tc>
        <w:tc>
          <w:tcPr>
            <w:tcW w:w="4770" w:type="dxa"/>
            <w:tcBorders>
              <w:left w:val="single" w:sz="4" w:space="0" w:color="auto"/>
              <w:bottom w:val="single" w:sz="4" w:space="0" w:color="auto"/>
              <w:right w:val="single" w:sz="4" w:space="0" w:color="auto"/>
            </w:tcBorders>
            <w:shd w:val="clear" w:color="auto" w:fill="A6A6A6" w:themeFill="background1" w:themeFillShade="A6"/>
          </w:tcPr>
          <w:p w:rsidR="00F365BC" w:rsidRPr="00380F9A" w:rsidRDefault="00F365BC" w:rsidP="00F543A7">
            <w:pPr>
              <w:spacing w:after="0"/>
              <w:jc w:val="center"/>
              <w:rPr>
                <w:rFonts w:asciiTheme="minorHAnsi" w:hAnsiTheme="minorHAnsi" w:cstheme="minorHAnsi"/>
                <w:b/>
                <w:sz w:val="28"/>
                <w:szCs w:val="20"/>
              </w:rPr>
            </w:pPr>
            <w:r w:rsidRPr="00380F9A">
              <w:rPr>
                <w:rFonts w:asciiTheme="minorHAnsi" w:hAnsiTheme="minorHAnsi" w:cstheme="minorHAnsi"/>
                <w:b/>
                <w:sz w:val="28"/>
                <w:szCs w:val="20"/>
              </w:rPr>
              <w:t>Preliminary Indicators</w:t>
            </w:r>
          </w:p>
        </w:tc>
        <w:tc>
          <w:tcPr>
            <w:tcW w:w="5310" w:type="dxa"/>
            <w:tcBorders>
              <w:left w:val="single" w:sz="4" w:space="0" w:color="auto"/>
              <w:bottom w:val="single" w:sz="4" w:space="0" w:color="auto"/>
              <w:right w:val="single" w:sz="4" w:space="0" w:color="auto"/>
            </w:tcBorders>
            <w:shd w:val="clear" w:color="auto" w:fill="A6A6A6" w:themeFill="background1" w:themeFillShade="A6"/>
          </w:tcPr>
          <w:p w:rsidR="00F365BC" w:rsidRPr="00380F9A" w:rsidRDefault="00F365BC" w:rsidP="00F543A7">
            <w:pPr>
              <w:spacing w:after="0"/>
              <w:jc w:val="center"/>
              <w:rPr>
                <w:rFonts w:asciiTheme="minorHAnsi" w:hAnsiTheme="minorHAnsi" w:cstheme="minorHAnsi"/>
                <w:b/>
                <w:sz w:val="28"/>
                <w:szCs w:val="20"/>
              </w:rPr>
            </w:pPr>
            <w:r w:rsidRPr="00380F9A">
              <w:rPr>
                <w:rFonts w:asciiTheme="minorHAnsi" w:hAnsiTheme="minorHAnsi" w:cstheme="minorHAnsi"/>
                <w:b/>
                <w:sz w:val="28"/>
                <w:szCs w:val="20"/>
              </w:rPr>
              <w:t>Preliminary Targets</w:t>
            </w:r>
          </w:p>
        </w:tc>
        <w:tc>
          <w:tcPr>
            <w:tcW w:w="6930" w:type="dxa"/>
            <w:gridSpan w:val="2"/>
            <w:tcBorders>
              <w:left w:val="single" w:sz="4" w:space="0" w:color="auto"/>
              <w:bottom w:val="single" w:sz="4" w:space="0" w:color="auto"/>
            </w:tcBorders>
            <w:shd w:val="clear" w:color="auto" w:fill="A6A6A6" w:themeFill="background1" w:themeFillShade="A6"/>
          </w:tcPr>
          <w:p w:rsidR="00F365BC" w:rsidRPr="00380F9A" w:rsidRDefault="00F365BC" w:rsidP="00F543A7">
            <w:pPr>
              <w:spacing w:after="0"/>
              <w:ind w:left="-18" w:firstLine="18"/>
              <w:jc w:val="center"/>
              <w:rPr>
                <w:rFonts w:asciiTheme="minorHAnsi" w:hAnsiTheme="minorHAnsi" w:cstheme="minorHAnsi"/>
                <w:b/>
                <w:sz w:val="28"/>
                <w:szCs w:val="20"/>
              </w:rPr>
            </w:pPr>
            <w:r w:rsidRPr="00380F9A">
              <w:rPr>
                <w:rFonts w:asciiTheme="minorHAnsi" w:hAnsiTheme="minorHAnsi" w:cstheme="minorHAnsi"/>
                <w:b/>
                <w:sz w:val="28"/>
                <w:szCs w:val="20"/>
              </w:rPr>
              <w:t>Comments</w:t>
            </w:r>
          </w:p>
        </w:tc>
      </w:tr>
      <w:tr w:rsidR="00F365BC" w:rsidRPr="004A7212" w:rsidTr="00F543A7">
        <w:trPr>
          <w:trHeight w:val="3167"/>
        </w:trPr>
        <w:tc>
          <w:tcPr>
            <w:tcW w:w="4968" w:type="dxa"/>
            <w:tcBorders>
              <w:top w:val="single" w:sz="4" w:space="0" w:color="auto"/>
            </w:tcBorders>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Public water supply infrastructure has and will have sufficient capacity and reliability to meet customer needs with minimal service disruptions at sufficient quantity and quality (including peak demands and drought needs) at the lowest possible lifecycle cost, using water supplies that do not exceed sustainable levels of water availability.</w:t>
            </w:r>
          </w:p>
        </w:tc>
        <w:tc>
          <w:tcPr>
            <w:tcW w:w="4770" w:type="dxa"/>
            <w:tcBorders>
              <w:top w:val="single" w:sz="4" w:space="0" w:color="auto"/>
            </w:tcBorders>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•Customer density</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•Delivered drinking water quality</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•Firm Capacity + Contracted Supplies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•Peak monthly demands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•Pipeline breaks </w:t>
            </w: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•Residential water use </w:t>
            </w: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•Water rates per thousand gallons</w:t>
            </w: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•Asset </w:t>
            </w:r>
            <w:proofErr w:type="spellStart"/>
            <w:r w:rsidRPr="00610AE5">
              <w:rPr>
                <w:rFonts w:asciiTheme="minorHAnsi" w:hAnsiTheme="minorHAnsi" w:cstheme="minorHAnsi"/>
                <w:sz w:val="20"/>
                <w:szCs w:val="20"/>
              </w:rPr>
              <w:t>mgt</w:t>
            </w:r>
            <w:proofErr w:type="spellEnd"/>
            <w:r w:rsidRPr="00610AE5">
              <w:rPr>
                <w:rFonts w:asciiTheme="minorHAnsi" w:hAnsiTheme="minorHAnsi" w:cstheme="minorHAnsi"/>
                <w:sz w:val="20"/>
                <w:szCs w:val="20"/>
              </w:rPr>
              <w:t xml:space="preserve"> reports and system budgets</w:t>
            </w:r>
          </w:p>
        </w:tc>
        <w:tc>
          <w:tcPr>
            <w:tcW w:w="5310" w:type="dxa"/>
            <w:tcBorders>
              <w:top w:val="single" w:sz="4" w:space="0" w:color="auto"/>
            </w:tcBorders>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•Accounts per linear mile and per square mile served</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•Drinking Water Quality violations (reliability)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•Net Available Capacity as Current and Projected Net Surplus/Deficit Analysis by PCWS system (capacity)</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•Pipeline network annual breaks per pipeline mile and trend by system (reliability)</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 Households exceeding 75 </w:t>
            </w:r>
            <w:proofErr w:type="spellStart"/>
            <w:r w:rsidRPr="00610AE5">
              <w:rPr>
                <w:rFonts w:asciiTheme="minorHAnsi" w:hAnsiTheme="minorHAnsi" w:cstheme="minorHAnsi"/>
                <w:sz w:val="20"/>
                <w:szCs w:val="20"/>
              </w:rPr>
              <w:t>gpcd</w:t>
            </w:r>
            <w:proofErr w:type="spellEnd"/>
            <w:r w:rsidRPr="00610AE5">
              <w:rPr>
                <w:rFonts w:asciiTheme="minorHAnsi" w:hAnsiTheme="minorHAnsi" w:cstheme="minorHAnsi"/>
                <w:sz w:val="20"/>
                <w:szCs w:val="20"/>
              </w:rPr>
              <w:t xml:space="preserve"> (demand efficiency)</w:t>
            </w: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•Affordability as average system household cost relative to 1% of area median household income, by system (equity)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•Comprehensive asset </w:t>
            </w:r>
            <w:proofErr w:type="spellStart"/>
            <w:r w:rsidRPr="00610AE5">
              <w:rPr>
                <w:rFonts w:asciiTheme="minorHAnsi" w:hAnsiTheme="minorHAnsi" w:cstheme="minorHAnsi"/>
                <w:sz w:val="20"/>
                <w:szCs w:val="20"/>
              </w:rPr>
              <w:t>mgt</w:t>
            </w:r>
            <w:proofErr w:type="spellEnd"/>
            <w:r w:rsidRPr="00610AE5">
              <w:rPr>
                <w:rFonts w:asciiTheme="minorHAnsi" w:hAnsiTheme="minorHAnsi" w:cstheme="minorHAnsi"/>
                <w:sz w:val="20"/>
                <w:szCs w:val="20"/>
              </w:rPr>
              <w:t xml:space="preserve"> plan implementation</w:t>
            </w:r>
          </w:p>
        </w:tc>
        <w:tc>
          <w:tcPr>
            <w:tcW w:w="6930" w:type="dxa"/>
            <w:gridSpan w:val="2"/>
            <w:tcBorders>
              <w:top w:val="single" w:sz="4" w:space="0" w:color="auto"/>
            </w:tcBorders>
          </w:tcPr>
          <w:p w:rsidR="00F365BC" w:rsidRPr="004A7212" w:rsidRDefault="00F365BC" w:rsidP="00F543A7">
            <w:pPr>
              <w:spacing w:after="0"/>
              <w:rPr>
                <w:rFonts w:asciiTheme="minorHAnsi" w:hAnsiTheme="minorHAnsi" w:cstheme="minorHAnsi"/>
                <w:sz w:val="20"/>
                <w:szCs w:val="20"/>
              </w:rPr>
            </w:pPr>
          </w:p>
        </w:tc>
      </w:tr>
      <w:tr w:rsidR="00F365BC" w:rsidRPr="004A7212" w:rsidTr="00F543A7">
        <w:trPr>
          <w:trHeight w:val="1439"/>
        </w:trPr>
        <w:tc>
          <w:tcPr>
            <w:tcW w:w="4968" w:type="dxa"/>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Water supplies are available in sufficient quantity and quality to support efficient uses that sustain human health, sanitation and consumption from residences and businesses, and for recreational and outdoor uses, within the limits of water availability.</w:t>
            </w:r>
          </w:p>
        </w:tc>
        <w:tc>
          <w:tcPr>
            <w:tcW w:w="4770" w:type="dxa"/>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•Enteric disease incidence per year from drinking water supplies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•Disconnected residential customers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Homeless persons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•Bacterial concentrations in recreational waters </w:t>
            </w:r>
          </w:p>
        </w:tc>
        <w:tc>
          <w:tcPr>
            <w:tcW w:w="5310" w:type="dxa"/>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Enteric disease incidence (public health)</w:t>
            </w: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of households with active access to potable water supply (access)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•Recreational uses – see Water Quality</w:t>
            </w:r>
          </w:p>
          <w:p w:rsidR="00F365BC" w:rsidRPr="00610AE5" w:rsidRDefault="00F365BC" w:rsidP="00F543A7">
            <w:pPr>
              <w:spacing w:after="0"/>
              <w:rPr>
                <w:rFonts w:asciiTheme="minorHAnsi" w:hAnsiTheme="minorHAnsi" w:cstheme="minorHAnsi"/>
                <w:sz w:val="20"/>
                <w:szCs w:val="20"/>
              </w:rPr>
            </w:pPr>
          </w:p>
        </w:tc>
        <w:tc>
          <w:tcPr>
            <w:tcW w:w="6930" w:type="dxa"/>
            <w:gridSpan w:val="2"/>
          </w:tcPr>
          <w:p w:rsidR="00F365BC" w:rsidRPr="004A7212" w:rsidRDefault="00F365BC" w:rsidP="00F543A7">
            <w:pPr>
              <w:spacing w:after="0"/>
              <w:rPr>
                <w:rFonts w:asciiTheme="minorHAnsi" w:hAnsiTheme="minorHAnsi" w:cstheme="minorHAnsi"/>
                <w:sz w:val="20"/>
                <w:szCs w:val="20"/>
              </w:rPr>
            </w:pPr>
          </w:p>
        </w:tc>
      </w:tr>
      <w:tr w:rsidR="00F365BC" w:rsidRPr="004A7212" w:rsidTr="00F543A7">
        <w:trPr>
          <w:trHeight w:val="90"/>
        </w:trPr>
        <w:tc>
          <w:tcPr>
            <w:tcW w:w="4968" w:type="dxa"/>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Public wastewater infrastructure has and will have sufficient capacity and reliability to collect and treat sewage of sufficient quantity and quality to meet customer needs with minimal service disruptions at the lowest possible lifecycle cost, while protecting public health and the environment.</w:t>
            </w:r>
          </w:p>
          <w:p w:rsidR="00F365BC" w:rsidRDefault="00F365BC" w:rsidP="00F543A7">
            <w:pPr>
              <w:spacing w:after="0"/>
              <w:rPr>
                <w:rFonts w:asciiTheme="minorHAnsi" w:hAnsiTheme="minorHAnsi" w:cstheme="minorHAnsi"/>
                <w:sz w:val="20"/>
                <w:szCs w:val="20"/>
              </w:rPr>
            </w:pPr>
          </w:p>
          <w:p w:rsidR="00F365BC" w:rsidRDefault="00F365BC" w:rsidP="00F543A7">
            <w:pPr>
              <w:spacing w:after="0"/>
              <w:rPr>
                <w:rFonts w:asciiTheme="minorHAnsi" w:hAnsiTheme="minorHAnsi" w:cstheme="minorHAnsi"/>
                <w:sz w:val="20"/>
                <w:szCs w:val="20"/>
              </w:rPr>
            </w:pPr>
          </w:p>
          <w:p w:rsidR="00F365BC" w:rsidRDefault="00F365BC" w:rsidP="00F543A7">
            <w:pPr>
              <w:spacing w:after="0"/>
              <w:rPr>
                <w:rFonts w:asciiTheme="minorHAnsi" w:hAnsiTheme="minorHAnsi" w:cstheme="minorHAnsi"/>
                <w:sz w:val="20"/>
                <w:szCs w:val="20"/>
              </w:rPr>
            </w:pPr>
          </w:p>
          <w:p w:rsidR="00F365BC" w:rsidRDefault="00F365BC" w:rsidP="00F543A7">
            <w:pPr>
              <w:spacing w:after="0"/>
              <w:rPr>
                <w:rFonts w:asciiTheme="minorHAnsi" w:hAnsiTheme="minorHAnsi" w:cstheme="minorHAnsi"/>
                <w:sz w:val="20"/>
                <w:szCs w:val="20"/>
              </w:rPr>
            </w:pPr>
          </w:p>
          <w:p w:rsidR="00F365BC" w:rsidRDefault="00F365BC" w:rsidP="00F543A7">
            <w:pPr>
              <w:spacing w:after="0"/>
              <w:rPr>
                <w:rFonts w:asciiTheme="minorHAnsi" w:hAnsiTheme="minorHAnsi" w:cstheme="minorHAnsi"/>
                <w:sz w:val="20"/>
                <w:szCs w:val="20"/>
              </w:rPr>
            </w:pPr>
          </w:p>
          <w:p w:rsidR="00F365BC"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Public </w:t>
            </w:r>
            <w:proofErr w:type="spellStart"/>
            <w:r w:rsidRPr="00610AE5">
              <w:rPr>
                <w:rFonts w:asciiTheme="minorHAnsi" w:hAnsiTheme="minorHAnsi" w:cstheme="minorHAnsi"/>
                <w:sz w:val="20"/>
                <w:szCs w:val="20"/>
              </w:rPr>
              <w:t>stormwater</w:t>
            </w:r>
            <w:proofErr w:type="spellEnd"/>
            <w:r w:rsidRPr="00610AE5">
              <w:rPr>
                <w:rFonts w:asciiTheme="minorHAnsi" w:hAnsiTheme="minorHAnsi" w:cstheme="minorHAnsi"/>
                <w:sz w:val="20"/>
                <w:szCs w:val="20"/>
              </w:rPr>
              <w:t xml:space="preserve"> infrastructure protects public health and safety and the waters of the State from flooding, contamination, recharge loss and surface water damages during normal operating conditions, with minimal service disruptions at the lowest possible lifecycle cost, while protecting public health and the environment.</w:t>
            </w:r>
          </w:p>
        </w:tc>
        <w:tc>
          <w:tcPr>
            <w:tcW w:w="4770" w:type="dxa"/>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b/>
                <w:sz w:val="20"/>
                <w:szCs w:val="20"/>
              </w:rPr>
              <w:t>Wastewater</w:t>
            </w:r>
            <w:r w:rsidRPr="00610AE5">
              <w:rPr>
                <w:rFonts w:asciiTheme="minorHAnsi" w:hAnsiTheme="minorHAnsi" w:cstheme="minorHAnsi"/>
                <w:sz w:val="20"/>
                <w:szCs w:val="20"/>
              </w:rPr>
              <w:t xml:space="preserve">: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•Customer density</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•Monthly, MAX3MO and annual average sewage flows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•CSO volumes and discharge days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•Effluent quality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•Sewerage rates per thousand gallons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•Infrastructure reliability</w:t>
            </w:r>
          </w:p>
          <w:p w:rsidR="00F365BC" w:rsidRDefault="00F365BC" w:rsidP="00F543A7">
            <w:pPr>
              <w:spacing w:after="0"/>
              <w:rPr>
                <w:rFonts w:asciiTheme="minorHAnsi" w:hAnsiTheme="minorHAnsi" w:cstheme="minorHAnsi"/>
                <w:b/>
                <w:sz w:val="20"/>
                <w:szCs w:val="20"/>
              </w:rPr>
            </w:pPr>
          </w:p>
          <w:p w:rsidR="00F365BC" w:rsidRDefault="00F365BC" w:rsidP="00F543A7">
            <w:pPr>
              <w:spacing w:after="0"/>
              <w:rPr>
                <w:rFonts w:asciiTheme="minorHAnsi" w:hAnsiTheme="minorHAnsi" w:cstheme="minorHAnsi"/>
                <w:b/>
                <w:sz w:val="20"/>
                <w:szCs w:val="20"/>
              </w:rPr>
            </w:pPr>
          </w:p>
          <w:p w:rsidR="00F365BC" w:rsidRDefault="00F365BC" w:rsidP="00F543A7">
            <w:pPr>
              <w:spacing w:after="0"/>
              <w:rPr>
                <w:rFonts w:asciiTheme="minorHAnsi" w:hAnsiTheme="minorHAnsi" w:cstheme="minorHAnsi"/>
                <w:b/>
                <w:sz w:val="20"/>
                <w:szCs w:val="20"/>
              </w:rPr>
            </w:pPr>
          </w:p>
          <w:p w:rsidR="00F365BC" w:rsidRDefault="00F365BC" w:rsidP="00F543A7">
            <w:pPr>
              <w:spacing w:after="0"/>
              <w:rPr>
                <w:rFonts w:asciiTheme="minorHAnsi" w:hAnsiTheme="minorHAnsi" w:cstheme="minorHAnsi"/>
                <w:b/>
                <w:sz w:val="20"/>
                <w:szCs w:val="20"/>
              </w:rPr>
            </w:pPr>
          </w:p>
          <w:p w:rsidR="00F365BC" w:rsidRPr="00610AE5" w:rsidRDefault="00F365BC" w:rsidP="00F543A7">
            <w:pPr>
              <w:spacing w:after="0"/>
              <w:rPr>
                <w:rFonts w:asciiTheme="minorHAnsi" w:hAnsiTheme="minorHAnsi" w:cstheme="minorHAnsi"/>
                <w:b/>
                <w:sz w:val="20"/>
                <w:szCs w:val="20"/>
              </w:rPr>
            </w:pPr>
          </w:p>
          <w:p w:rsidR="00F365BC" w:rsidRPr="00610AE5" w:rsidRDefault="00F365BC" w:rsidP="00F543A7">
            <w:pPr>
              <w:spacing w:after="0"/>
              <w:rPr>
                <w:rFonts w:asciiTheme="minorHAnsi" w:hAnsiTheme="minorHAnsi" w:cstheme="minorHAnsi"/>
                <w:sz w:val="20"/>
                <w:szCs w:val="20"/>
              </w:rPr>
            </w:pPr>
            <w:proofErr w:type="spellStart"/>
            <w:r w:rsidRPr="00610AE5">
              <w:rPr>
                <w:rFonts w:asciiTheme="minorHAnsi" w:hAnsiTheme="minorHAnsi" w:cstheme="minorHAnsi"/>
                <w:b/>
                <w:sz w:val="20"/>
                <w:szCs w:val="20"/>
              </w:rPr>
              <w:t>Stormwater</w:t>
            </w:r>
            <w:proofErr w:type="spellEnd"/>
            <w:r w:rsidRPr="00610AE5">
              <w:rPr>
                <w:rFonts w:asciiTheme="minorHAnsi" w:hAnsiTheme="minorHAnsi" w:cstheme="minorHAnsi"/>
                <w:sz w:val="20"/>
                <w:szCs w:val="20"/>
              </w:rPr>
              <w:t xml:space="preserve">: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•Development occurring prior to and after adoption of the original Residential Improvement Standards and the 2004 NJDEP </w:t>
            </w:r>
            <w:proofErr w:type="spellStart"/>
            <w:r w:rsidRPr="00610AE5">
              <w:rPr>
                <w:rFonts w:asciiTheme="minorHAnsi" w:hAnsiTheme="minorHAnsi" w:cstheme="minorHAnsi"/>
                <w:sz w:val="20"/>
                <w:szCs w:val="20"/>
              </w:rPr>
              <w:t>Stormwater</w:t>
            </w:r>
            <w:proofErr w:type="spellEnd"/>
            <w:r w:rsidRPr="00610AE5">
              <w:rPr>
                <w:rFonts w:asciiTheme="minorHAnsi" w:hAnsiTheme="minorHAnsi" w:cstheme="minorHAnsi"/>
                <w:sz w:val="20"/>
                <w:szCs w:val="20"/>
              </w:rPr>
              <w:t xml:space="preserve"> Rules, NJAC 7:8 (capacity and recharge potential)</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•Beach closings (reliability)</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•Recharge loss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•Stream daily flows</w:t>
            </w:r>
          </w:p>
          <w:p w:rsidR="00F365BC" w:rsidRPr="00610AE5" w:rsidRDefault="00F365BC" w:rsidP="00F543A7">
            <w:pPr>
              <w:spacing w:after="0"/>
              <w:rPr>
                <w:rFonts w:asciiTheme="minorHAnsi" w:hAnsiTheme="minorHAnsi" w:cstheme="minorHAnsi"/>
                <w:sz w:val="20"/>
                <w:szCs w:val="20"/>
              </w:rPr>
            </w:pPr>
          </w:p>
        </w:tc>
        <w:tc>
          <w:tcPr>
            <w:tcW w:w="5310" w:type="dxa"/>
          </w:tcPr>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•Accounts per linear mile and per square mile served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•Current and Projected Net Available Capacity (capacity, MAX3MO method)</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•CSO discharges as % annual flow</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•Effluent quality violations (reliability) </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•Affordability as average system household cost relative to 1.5% of area median household income, by system (equity)</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•Annual line breaks per mile</w:t>
            </w:r>
          </w:p>
          <w:p w:rsidR="00F365BC" w:rsidRPr="00610AE5" w:rsidRDefault="00F365BC" w:rsidP="00F543A7">
            <w:pPr>
              <w:spacing w:after="0"/>
              <w:rPr>
                <w:rFonts w:asciiTheme="minorHAnsi" w:hAnsiTheme="minorHAnsi" w:cstheme="minorHAnsi"/>
                <w:sz w:val="20"/>
                <w:szCs w:val="20"/>
              </w:rPr>
            </w:pPr>
            <w:r>
              <w:rPr>
                <w:rFonts w:asciiTheme="minorHAnsi" w:hAnsiTheme="minorHAnsi" w:cstheme="minorHAnsi"/>
                <w:sz w:val="20"/>
                <w:szCs w:val="20"/>
              </w:rPr>
              <w:t>•Comprehensive asset management</w:t>
            </w:r>
            <w:r w:rsidRPr="00610AE5">
              <w:rPr>
                <w:rFonts w:asciiTheme="minorHAnsi" w:hAnsiTheme="minorHAnsi" w:cstheme="minorHAnsi"/>
                <w:sz w:val="20"/>
                <w:szCs w:val="20"/>
              </w:rPr>
              <w:t xml:space="preserve"> plan implementation</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of development with rate, velocity and treatment controls meeting current requirements</w:t>
            </w: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•Trend of beach closings caused by </w:t>
            </w:r>
            <w:proofErr w:type="spellStart"/>
            <w:r w:rsidRPr="00610AE5">
              <w:rPr>
                <w:rFonts w:asciiTheme="minorHAnsi" w:hAnsiTheme="minorHAnsi" w:cstheme="minorHAnsi"/>
                <w:sz w:val="20"/>
                <w:szCs w:val="20"/>
              </w:rPr>
              <w:t>stormwater</w:t>
            </w:r>
            <w:proofErr w:type="spellEnd"/>
            <w:r w:rsidRPr="00610AE5">
              <w:rPr>
                <w:rFonts w:asciiTheme="minorHAnsi" w:hAnsiTheme="minorHAnsi" w:cstheme="minorHAnsi"/>
                <w:sz w:val="20"/>
                <w:szCs w:val="20"/>
              </w:rPr>
              <w:t xml:space="preserve"> discharges</w:t>
            </w:r>
          </w:p>
          <w:p w:rsidR="00F365BC" w:rsidRPr="00610AE5" w:rsidRDefault="00F365BC" w:rsidP="00F543A7">
            <w:pPr>
              <w:spacing w:after="0"/>
              <w:rPr>
                <w:rFonts w:asciiTheme="minorHAnsi" w:hAnsiTheme="minorHAnsi" w:cstheme="minorHAnsi"/>
                <w:sz w:val="20"/>
                <w:szCs w:val="20"/>
              </w:rPr>
            </w:pPr>
            <w:r w:rsidRPr="00610AE5">
              <w:rPr>
                <w:rFonts w:asciiTheme="minorHAnsi" w:hAnsiTheme="minorHAnsi" w:cstheme="minorHAnsi"/>
                <w:sz w:val="20"/>
                <w:szCs w:val="20"/>
              </w:rPr>
              <w:t xml:space="preserve">•Stream </w:t>
            </w:r>
            <w:proofErr w:type="spellStart"/>
            <w:r w:rsidRPr="00610AE5">
              <w:rPr>
                <w:rFonts w:asciiTheme="minorHAnsi" w:hAnsiTheme="minorHAnsi" w:cstheme="minorHAnsi"/>
                <w:sz w:val="20"/>
                <w:szCs w:val="20"/>
              </w:rPr>
              <w:t>baseflow</w:t>
            </w:r>
            <w:proofErr w:type="spellEnd"/>
            <w:r w:rsidRPr="00610AE5">
              <w:rPr>
                <w:rFonts w:asciiTheme="minorHAnsi" w:hAnsiTheme="minorHAnsi" w:cstheme="minorHAnsi"/>
                <w:sz w:val="20"/>
                <w:szCs w:val="20"/>
              </w:rPr>
              <w:t xml:space="preserve"> as a percentage of annual flows</w:t>
            </w:r>
          </w:p>
          <w:p w:rsidR="00F365BC" w:rsidRPr="00610AE5" w:rsidRDefault="00F365BC" w:rsidP="00F543A7">
            <w:pPr>
              <w:spacing w:after="0"/>
              <w:rPr>
                <w:rFonts w:asciiTheme="minorHAnsi" w:hAnsiTheme="minorHAnsi" w:cstheme="minorHAnsi"/>
                <w:sz w:val="20"/>
                <w:szCs w:val="20"/>
              </w:rPr>
            </w:pPr>
          </w:p>
          <w:p w:rsidR="00F365BC" w:rsidRPr="00610AE5" w:rsidRDefault="00F365BC" w:rsidP="00F543A7">
            <w:pPr>
              <w:spacing w:after="0"/>
              <w:rPr>
                <w:rFonts w:asciiTheme="minorHAnsi" w:hAnsiTheme="minorHAnsi" w:cstheme="minorHAnsi"/>
                <w:b/>
                <w:sz w:val="20"/>
                <w:szCs w:val="20"/>
              </w:rPr>
            </w:pPr>
          </w:p>
        </w:tc>
        <w:tc>
          <w:tcPr>
            <w:tcW w:w="6930" w:type="dxa"/>
            <w:gridSpan w:val="2"/>
          </w:tcPr>
          <w:p w:rsidR="00F365BC" w:rsidRPr="004A7212" w:rsidRDefault="00F365BC" w:rsidP="00F543A7">
            <w:pPr>
              <w:spacing w:after="0"/>
              <w:rPr>
                <w:rFonts w:asciiTheme="minorHAnsi" w:hAnsiTheme="minorHAnsi" w:cstheme="minorHAnsi"/>
                <w:sz w:val="20"/>
                <w:szCs w:val="20"/>
              </w:rPr>
            </w:pPr>
          </w:p>
        </w:tc>
      </w:tr>
    </w:tbl>
    <w:p w:rsidR="00BB6353" w:rsidRDefault="00BB6353"/>
    <w:sectPr w:rsidR="00BB6353" w:rsidSect="00F365BC">
      <w:headerReference w:type="default" r:id="rId7"/>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BC" w:rsidRDefault="00F365BC" w:rsidP="00F365BC">
      <w:pPr>
        <w:spacing w:after="0"/>
      </w:pPr>
      <w:r>
        <w:separator/>
      </w:r>
    </w:p>
  </w:endnote>
  <w:endnote w:type="continuationSeparator" w:id="0">
    <w:p w:rsidR="00F365BC" w:rsidRDefault="00F365BC" w:rsidP="00F365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BC" w:rsidRDefault="00F365BC" w:rsidP="00F365BC">
      <w:pPr>
        <w:spacing w:after="0"/>
      </w:pPr>
      <w:r>
        <w:separator/>
      </w:r>
    </w:p>
  </w:footnote>
  <w:footnote w:type="continuationSeparator" w:id="0">
    <w:p w:rsidR="00F365BC" w:rsidRDefault="00F365BC" w:rsidP="00F365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C" w:rsidRPr="00F365BC" w:rsidRDefault="00F365BC" w:rsidP="00F365BC">
    <w:pPr>
      <w:spacing w:after="120"/>
      <w:rPr>
        <w:b/>
        <w:sz w:val="24"/>
      </w:rPr>
    </w:pPr>
    <w:r>
      <w:t>Please use back of page to list any aspects of the topic missing or other appropriate indicators or targets that should be explored</w:t>
    </w:r>
  </w:p>
  <w:p w:rsidR="00F365BC" w:rsidRDefault="00F36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BC"/>
    <w:rsid w:val="00BB6353"/>
    <w:rsid w:val="00F3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BC"/>
    <w:pPr>
      <w:spacing w:after="220" w:line="240" w:lineRule="auto"/>
    </w:pPr>
    <w:rPr>
      <w:rFonts w:ascii="Futura Std Book" w:eastAsia="Times New Roman" w:hAnsi="Futura Std 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5BC"/>
    <w:pPr>
      <w:tabs>
        <w:tab w:val="center" w:pos="4680"/>
        <w:tab w:val="right" w:pos="9360"/>
      </w:tabs>
      <w:spacing w:after="0"/>
    </w:pPr>
  </w:style>
  <w:style w:type="character" w:customStyle="1" w:styleId="HeaderChar">
    <w:name w:val="Header Char"/>
    <w:basedOn w:val="DefaultParagraphFont"/>
    <w:link w:val="Header"/>
    <w:uiPriority w:val="99"/>
    <w:rsid w:val="00F365BC"/>
    <w:rPr>
      <w:rFonts w:ascii="Futura Std Book" w:eastAsia="Times New Roman" w:hAnsi="Futura Std Book" w:cs="Times New Roman"/>
      <w:szCs w:val="24"/>
    </w:rPr>
  </w:style>
  <w:style w:type="paragraph" w:styleId="Footer">
    <w:name w:val="footer"/>
    <w:basedOn w:val="Normal"/>
    <w:link w:val="FooterChar"/>
    <w:uiPriority w:val="99"/>
    <w:unhideWhenUsed/>
    <w:rsid w:val="00F365BC"/>
    <w:pPr>
      <w:tabs>
        <w:tab w:val="center" w:pos="4680"/>
        <w:tab w:val="right" w:pos="9360"/>
      </w:tabs>
      <w:spacing w:after="0"/>
    </w:pPr>
  </w:style>
  <w:style w:type="character" w:customStyle="1" w:styleId="FooterChar">
    <w:name w:val="Footer Char"/>
    <w:basedOn w:val="DefaultParagraphFont"/>
    <w:link w:val="Footer"/>
    <w:uiPriority w:val="99"/>
    <w:rsid w:val="00F365BC"/>
    <w:rPr>
      <w:rFonts w:ascii="Futura Std Book" w:eastAsia="Times New Roman" w:hAnsi="Futura Std Book" w:cs="Times New Roman"/>
      <w:szCs w:val="24"/>
    </w:rPr>
  </w:style>
  <w:style w:type="paragraph" w:styleId="BalloonText">
    <w:name w:val="Balloon Text"/>
    <w:basedOn w:val="Normal"/>
    <w:link w:val="BalloonTextChar"/>
    <w:uiPriority w:val="99"/>
    <w:semiHidden/>
    <w:unhideWhenUsed/>
    <w:rsid w:val="00F365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BC"/>
    <w:pPr>
      <w:spacing w:after="220" w:line="240" w:lineRule="auto"/>
    </w:pPr>
    <w:rPr>
      <w:rFonts w:ascii="Futura Std Book" w:eastAsia="Times New Roman" w:hAnsi="Futura Std 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5BC"/>
    <w:pPr>
      <w:tabs>
        <w:tab w:val="center" w:pos="4680"/>
        <w:tab w:val="right" w:pos="9360"/>
      </w:tabs>
      <w:spacing w:after="0"/>
    </w:pPr>
  </w:style>
  <w:style w:type="character" w:customStyle="1" w:styleId="HeaderChar">
    <w:name w:val="Header Char"/>
    <w:basedOn w:val="DefaultParagraphFont"/>
    <w:link w:val="Header"/>
    <w:uiPriority w:val="99"/>
    <w:rsid w:val="00F365BC"/>
    <w:rPr>
      <w:rFonts w:ascii="Futura Std Book" w:eastAsia="Times New Roman" w:hAnsi="Futura Std Book" w:cs="Times New Roman"/>
      <w:szCs w:val="24"/>
    </w:rPr>
  </w:style>
  <w:style w:type="paragraph" w:styleId="Footer">
    <w:name w:val="footer"/>
    <w:basedOn w:val="Normal"/>
    <w:link w:val="FooterChar"/>
    <w:uiPriority w:val="99"/>
    <w:unhideWhenUsed/>
    <w:rsid w:val="00F365BC"/>
    <w:pPr>
      <w:tabs>
        <w:tab w:val="center" w:pos="4680"/>
        <w:tab w:val="right" w:pos="9360"/>
      </w:tabs>
      <w:spacing w:after="0"/>
    </w:pPr>
  </w:style>
  <w:style w:type="character" w:customStyle="1" w:styleId="FooterChar">
    <w:name w:val="Footer Char"/>
    <w:basedOn w:val="DefaultParagraphFont"/>
    <w:link w:val="Footer"/>
    <w:uiPriority w:val="99"/>
    <w:rsid w:val="00F365BC"/>
    <w:rPr>
      <w:rFonts w:ascii="Futura Std Book" w:eastAsia="Times New Roman" w:hAnsi="Futura Std Book" w:cs="Times New Roman"/>
      <w:szCs w:val="24"/>
    </w:rPr>
  </w:style>
  <w:style w:type="paragraph" w:styleId="BalloonText">
    <w:name w:val="Balloon Text"/>
    <w:basedOn w:val="Normal"/>
    <w:link w:val="BalloonTextChar"/>
    <w:uiPriority w:val="99"/>
    <w:semiHidden/>
    <w:unhideWhenUsed/>
    <w:rsid w:val="00F365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cp:revision>
  <dcterms:created xsi:type="dcterms:W3CDTF">2013-09-23T13:39:00Z</dcterms:created>
  <dcterms:modified xsi:type="dcterms:W3CDTF">2013-09-23T13:51:00Z</dcterms:modified>
</cp:coreProperties>
</file>