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2687"/>
        <w:tblW w:w="2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4155"/>
        <w:gridCol w:w="5040"/>
        <w:gridCol w:w="5947"/>
      </w:tblGrid>
      <w:tr w:rsidR="00597F61" w:rsidRPr="00597F61" w:rsidTr="00A842CE">
        <w:trPr>
          <w:trHeight w:val="710"/>
          <w:tblHeader/>
        </w:trPr>
        <w:tc>
          <w:tcPr>
            <w:tcW w:w="6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97F61" w:rsidRPr="00597F61" w:rsidRDefault="00597F61" w:rsidP="003E0016">
            <w:pPr>
              <w:spacing w:after="0" w:line="240" w:lineRule="auto"/>
              <w:jc w:val="center"/>
              <w:rPr>
                <w:rFonts w:ascii="Calibri" w:eastAsia="Times New Roman" w:hAnsi="Calibri" w:cs="Calibri"/>
                <w:b/>
                <w:sz w:val="28"/>
                <w:szCs w:val="20"/>
              </w:rPr>
            </w:pPr>
            <w:r w:rsidRPr="00597F61">
              <w:rPr>
                <w:rFonts w:ascii="Calibri" w:eastAsia="Times New Roman" w:hAnsi="Calibri" w:cs="Calibri"/>
                <w:b/>
                <w:sz w:val="28"/>
                <w:szCs w:val="20"/>
              </w:rPr>
              <w:t>Sustainability Definitions</w:t>
            </w:r>
          </w:p>
        </w:tc>
        <w:tc>
          <w:tcPr>
            <w:tcW w:w="41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97F61" w:rsidRPr="00597F61" w:rsidRDefault="00597F61" w:rsidP="003E0016">
            <w:pPr>
              <w:spacing w:after="0" w:line="240" w:lineRule="auto"/>
              <w:jc w:val="center"/>
              <w:rPr>
                <w:rFonts w:ascii="Calibri" w:eastAsia="Times New Roman" w:hAnsi="Calibri" w:cs="Calibri"/>
                <w:b/>
                <w:sz w:val="28"/>
                <w:szCs w:val="20"/>
              </w:rPr>
            </w:pPr>
            <w:r w:rsidRPr="00597F61">
              <w:rPr>
                <w:rFonts w:ascii="Calibri" w:eastAsia="Times New Roman" w:hAnsi="Calibri" w:cs="Calibri"/>
                <w:b/>
                <w:sz w:val="28"/>
                <w:szCs w:val="20"/>
              </w:rPr>
              <w:t>Preliminary Sustainability Indicators</w:t>
            </w:r>
          </w:p>
        </w:tc>
        <w:tc>
          <w:tcPr>
            <w:tcW w:w="5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97F61" w:rsidRPr="00597F61" w:rsidRDefault="00597F61" w:rsidP="003E0016">
            <w:pPr>
              <w:spacing w:after="0" w:line="240" w:lineRule="auto"/>
              <w:jc w:val="center"/>
              <w:rPr>
                <w:rFonts w:ascii="Calibri" w:eastAsia="Times New Roman" w:hAnsi="Calibri" w:cs="Calibri"/>
                <w:b/>
                <w:sz w:val="28"/>
                <w:szCs w:val="20"/>
              </w:rPr>
            </w:pPr>
            <w:r w:rsidRPr="00597F61">
              <w:rPr>
                <w:rFonts w:ascii="Calibri" w:eastAsia="Times New Roman" w:hAnsi="Calibri" w:cs="Calibri"/>
                <w:b/>
                <w:sz w:val="28"/>
                <w:szCs w:val="20"/>
              </w:rPr>
              <w:t>Preliminary Targets</w:t>
            </w:r>
          </w:p>
        </w:tc>
        <w:tc>
          <w:tcPr>
            <w:tcW w:w="5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97F61" w:rsidRPr="00597F61" w:rsidRDefault="00597F61" w:rsidP="003E0016">
            <w:pPr>
              <w:spacing w:after="0" w:line="240" w:lineRule="auto"/>
              <w:jc w:val="center"/>
              <w:rPr>
                <w:rFonts w:ascii="Calibri" w:eastAsia="Times New Roman" w:hAnsi="Calibri" w:cs="Calibri"/>
                <w:b/>
                <w:sz w:val="28"/>
                <w:szCs w:val="20"/>
              </w:rPr>
            </w:pPr>
            <w:r w:rsidRPr="00597F61">
              <w:rPr>
                <w:rFonts w:ascii="Calibri" w:eastAsia="Times New Roman" w:hAnsi="Calibri" w:cs="Calibri"/>
                <w:b/>
                <w:sz w:val="28"/>
                <w:szCs w:val="20"/>
              </w:rPr>
              <w:t>Comments</w:t>
            </w:r>
          </w:p>
        </w:tc>
      </w:tr>
      <w:tr w:rsidR="00597F61" w:rsidRPr="00597F61" w:rsidTr="00A842CE">
        <w:trPr>
          <w:trHeight w:val="1439"/>
        </w:trPr>
        <w:tc>
          <w:tcPr>
            <w:tcW w:w="6573" w:type="dxa"/>
            <w:vMerge w:val="restart"/>
            <w:tcBorders>
              <w:top w:val="single" w:sz="4" w:space="0" w:color="auto"/>
            </w:tcBorders>
          </w:tcPr>
          <w:p w:rsidR="00597F61" w:rsidRPr="00597F61" w:rsidRDefault="00597F61" w:rsidP="003E0016">
            <w:pPr>
              <w:spacing w:after="120" w:line="240" w:lineRule="auto"/>
              <w:jc w:val="both"/>
              <w:rPr>
                <w:rFonts w:ascii="Calibri" w:eastAsia="Times New Roman" w:hAnsi="Calibri" w:cs="Calibri"/>
                <w:sz w:val="28"/>
              </w:rPr>
            </w:pPr>
            <w:r w:rsidRPr="00597F61">
              <w:rPr>
                <w:rFonts w:ascii="Calibri" w:eastAsia="Times New Roman" w:hAnsi="Calibri" w:cs="Calibri"/>
                <w:b/>
                <w:sz w:val="28"/>
              </w:rPr>
              <w:t>Sustainable public wellness</w:t>
            </w:r>
            <w:r w:rsidRPr="00597F61">
              <w:rPr>
                <w:rFonts w:ascii="Calibri" w:eastAsia="Times New Roman" w:hAnsi="Calibri" w:cs="Calibri"/>
                <w:sz w:val="28"/>
              </w:rPr>
              <w:t xml:space="preserve"> exists when, in the aggregate and within major socioeconomic sectors, the conditions for New Jersey residents provide</w:t>
            </w:r>
            <w:r w:rsidR="00C31D1E">
              <w:rPr>
                <w:rFonts w:ascii="Calibri" w:eastAsia="Times New Roman" w:hAnsi="Calibri" w:cs="Calibri"/>
                <w:sz w:val="28"/>
              </w:rPr>
              <w:t>:</w:t>
            </w:r>
          </w:p>
          <w:p w:rsidR="00597F61" w:rsidRPr="00597F61" w:rsidRDefault="00576BEF" w:rsidP="003E0016">
            <w:pPr>
              <w:numPr>
                <w:ilvl w:val="0"/>
                <w:numId w:val="2"/>
              </w:numPr>
              <w:spacing w:after="120" w:line="240" w:lineRule="auto"/>
              <w:ind w:left="360"/>
              <w:rPr>
                <w:rFonts w:ascii="Calibri" w:eastAsia="Times New Roman" w:hAnsi="Calibri" w:cs="Calibri"/>
                <w:sz w:val="28"/>
              </w:rPr>
            </w:pPr>
            <w:r>
              <w:rPr>
                <w:rFonts w:ascii="Calibri" w:eastAsia="Times New Roman" w:hAnsi="Calibri" w:cs="Calibri"/>
                <w:sz w:val="28"/>
              </w:rPr>
              <w:t>H</w:t>
            </w:r>
            <w:r w:rsidR="00597F61" w:rsidRPr="00597F61">
              <w:rPr>
                <w:rFonts w:ascii="Calibri" w:eastAsia="Times New Roman" w:hAnsi="Calibri" w:cs="Calibri"/>
                <w:sz w:val="28"/>
              </w:rPr>
              <w:t>ealth conditions equivalent to the best outcomes exhibited by other states and peer nations</w:t>
            </w:r>
          </w:p>
          <w:p w:rsidR="00597F61" w:rsidRPr="00597F61" w:rsidRDefault="00576BEF" w:rsidP="003E0016">
            <w:pPr>
              <w:numPr>
                <w:ilvl w:val="0"/>
                <w:numId w:val="2"/>
              </w:numPr>
              <w:spacing w:after="120" w:line="240" w:lineRule="auto"/>
              <w:ind w:left="360"/>
              <w:rPr>
                <w:rFonts w:ascii="Calibri" w:eastAsia="Times New Roman" w:hAnsi="Calibri" w:cs="Calibri"/>
                <w:sz w:val="28"/>
              </w:rPr>
            </w:pPr>
            <w:r>
              <w:rPr>
                <w:rFonts w:ascii="Calibri" w:eastAsia="Times New Roman" w:hAnsi="Calibri" w:cs="Calibri"/>
                <w:sz w:val="28"/>
              </w:rPr>
              <w:t>M</w:t>
            </w:r>
            <w:r w:rsidR="00597F61" w:rsidRPr="00597F61">
              <w:rPr>
                <w:rFonts w:ascii="Calibri" w:eastAsia="Times New Roman" w:hAnsi="Calibri" w:cs="Calibri"/>
                <w:sz w:val="28"/>
              </w:rPr>
              <w:t xml:space="preserve">inimized at a cost to society relative to both state domestic product and household incomes </w:t>
            </w:r>
          </w:p>
          <w:p w:rsidR="00597F61" w:rsidRPr="00597F61" w:rsidRDefault="00576BEF" w:rsidP="003E0016">
            <w:pPr>
              <w:numPr>
                <w:ilvl w:val="0"/>
                <w:numId w:val="2"/>
              </w:numPr>
              <w:spacing w:after="120" w:line="240" w:lineRule="auto"/>
              <w:ind w:left="360"/>
              <w:rPr>
                <w:rFonts w:ascii="Calibri" w:eastAsia="Times New Roman" w:hAnsi="Calibri" w:cs="Calibri"/>
                <w:sz w:val="28"/>
              </w:rPr>
            </w:pPr>
            <w:r>
              <w:rPr>
                <w:rFonts w:ascii="Calibri" w:eastAsia="Times New Roman" w:hAnsi="Calibri" w:cs="Calibri"/>
                <w:sz w:val="28"/>
              </w:rPr>
              <w:t xml:space="preserve"> E</w:t>
            </w:r>
            <w:r w:rsidR="00597F61" w:rsidRPr="00597F61">
              <w:rPr>
                <w:rFonts w:ascii="Calibri" w:eastAsia="Times New Roman" w:hAnsi="Calibri" w:cs="Calibri"/>
                <w:sz w:val="28"/>
              </w:rPr>
              <w:t>ffective prevention of acute and chronic disease</w:t>
            </w:r>
          </w:p>
          <w:p w:rsidR="00597F61" w:rsidRPr="00597F61" w:rsidRDefault="00576BEF" w:rsidP="003E0016">
            <w:pPr>
              <w:numPr>
                <w:ilvl w:val="0"/>
                <w:numId w:val="2"/>
              </w:numPr>
              <w:spacing w:after="120" w:line="240" w:lineRule="auto"/>
              <w:ind w:left="360"/>
              <w:rPr>
                <w:rFonts w:ascii="Calibri" w:eastAsia="Times New Roman" w:hAnsi="Calibri" w:cs="Calibri"/>
                <w:sz w:val="28"/>
              </w:rPr>
            </w:pPr>
            <w:r>
              <w:rPr>
                <w:rFonts w:ascii="Calibri" w:eastAsia="Times New Roman" w:hAnsi="Calibri" w:cs="Calibri"/>
                <w:sz w:val="28"/>
              </w:rPr>
              <w:t>H</w:t>
            </w:r>
            <w:r w:rsidR="00597F61" w:rsidRPr="00597F61">
              <w:rPr>
                <w:rFonts w:ascii="Calibri" w:eastAsia="Times New Roman" w:hAnsi="Calibri" w:cs="Calibri"/>
                <w:sz w:val="28"/>
              </w:rPr>
              <w:t>ealth care methods that are intrinsically sustainable, and do not constitute a major burden that reduces our ability to achieve sustainability in other critical social functions.</w:t>
            </w:r>
          </w:p>
          <w:p w:rsidR="00597F61" w:rsidRPr="00597F61" w:rsidRDefault="00597F61" w:rsidP="003E0016">
            <w:pPr>
              <w:autoSpaceDE w:val="0"/>
              <w:autoSpaceDN w:val="0"/>
              <w:adjustRightInd w:val="0"/>
              <w:spacing w:after="0" w:line="240" w:lineRule="auto"/>
              <w:rPr>
                <w:rFonts w:ascii="Calibri" w:eastAsia="Times New Roman" w:hAnsi="Calibri" w:cs="Calibri"/>
                <w:b/>
                <w:color w:val="231F20"/>
                <w:sz w:val="28"/>
                <w:szCs w:val="20"/>
              </w:rPr>
            </w:pPr>
            <w:r w:rsidRPr="00597F61">
              <w:rPr>
                <w:rFonts w:ascii="Calibri" w:eastAsia="Times New Roman" w:hAnsi="Calibri" w:cs="Calibri"/>
                <w:sz w:val="28"/>
                <w:szCs w:val="20"/>
              </w:rPr>
              <w:t>.</w:t>
            </w:r>
          </w:p>
        </w:tc>
        <w:tc>
          <w:tcPr>
            <w:tcW w:w="4155" w:type="dxa"/>
            <w:tcBorders>
              <w:top w:val="single" w:sz="4" w:space="0" w:color="auto"/>
            </w:tcBorders>
          </w:tcPr>
          <w:p w:rsidR="00597F61" w:rsidRPr="00597F61" w:rsidRDefault="00597F61" w:rsidP="003E0016">
            <w:pPr>
              <w:pStyle w:val="ListParagraph"/>
              <w:numPr>
                <w:ilvl w:val="0"/>
                <w:numId w:val="3"/>
              </w:numPr>
              <w:spacing w:after="0" w:line="240" w:lineRule="auto"/>
              <w:rPr>
                <w:rFonts w:ascii="Calibri" w:eastAsia="Times New Roman" w:hAnsi="Calibri" w:cs="Calibri"/>
                <w:sz w:val="28"/>
                <w:szCs w:val="20"/>
              </w:rPr>
            </w:pPr>
            <w:r w:rsidRPr="00597F61">
              <w:rPr>
                <w:rFonts w:ascii="Calibri" w:eastAsia="Times New Roman" w:hAnsi="Calibri" w:cs="Calibri"/>
                <w:sz w:val="28"/>
                <w:szCs w:val="20"/>
              </w:rPr>
              <w:t>Lifespan increases to the best norms, aggregate and by socioeconomic cohorts</w:t>
            </w:r>
          </w:p>
        </w:tc>
        <w:tc>
          <w:tcPr>
            <w:tcW w:w="5040" w:type="dxa"/>
            <w:tcBorders>
              <w:top w:val="single" w:sz="4" w:space="0" w:color="auto"/>
            </w:tcBorders>
          </w:tcPr>
          <w:p w:rsidR="00597F61" w:rsidRPr="00597F61" w:rsidRDefault="00597F61" w:rsidP="003E0016">
            <w:pPr>
              <w:spacing w:after="0" w:line="240" w:lineRule="auto"/>
              <w:outlineLvl w:val="0"/>
              <w:rPr>
                <w:rFonts w:ascii="Calibri" w:eastAsia="Times New Roman" w:hAnsi="Calibri" w:cs="Calibri"/>
                <w:sz w:val="28"/>
                <w:szCs w:val="20"/>
              </w:rPr>
            </w:pPr>
            <w:r w:rsidRPr="00597F61">
              <w:rPr>
                <w:rFonts w:ascii="Calibri" w:eastAsia="Times New Roman" w:hAnsi="Calibri" w:cs="Calibri"/>
                <w:sz w:val="28"/>
                <w:szCs w:val="20"/>
              </w:rPr>
              <w:t>National health benchmark (best state) and OECD health benchmark (best nation)</w:t>
            </w:r>
            <w:r w:rsidRPr="00597F61">
              <w:rPr>
                <w:rFonts w:ascii="Calibri" w:eastAsia="Times New Roman" w:hAnsi="Calibri" w:cs="Calibri"/>
                <w:sz w:val="28"/>
                <w:szCs w:val="20"/>
                <w:vertAlign w:val="superscript"/>
              </w:rPr>
              <w:footnoteReference w:id="1"/>
            </w:r>
            <w:r w:rsidRPr="00597F61">
              <w:rPr>
                <w:rFonts w:ascii="Calibri" w:eastAsia="Times New Roman" w:hAnsi="Calibri" w:cs="Calibri"/>
                <w:sz w:val="28"/>
                <w:szCs w:val="20"/>
              </w:rPr>
              <w:t xml:space="preserve"> </w:t>
            </w:r>
          </w:p>
        </w:tc>
        <w:tc>
          <w:tcPr>
            <w:tcW w:w="5947" w:type="dxa"/>
            <w:tcBorders>
              <w:top w:val="single" w:sz="4" w:space="0" w:color="auto"/>
            </w:tcBorders>
          </w:tcPr>
          <w:p w:rsidR="00597F61" w:rsidRPr="00597F61" w:rsidRDefault="00597F61" w:rsidP="003E0016">
            <w:pPr>
              <w:spacing w:after="0" w:line="240" w:lineRule="auto"/>
              <w:outlineLvl w:val="0"/>
              <w:rPr>
                <w:rFonts w:ascii="Calibri" w:eastAsia="Times New Roman" w:hAnsi="Calibri" w:cs="Calibri"/>
                <w:sz w:val="28"/>
                <w:szCs w:val="20"/>
              </w:rPr>
            </w:pPr>
          </w:p>
        </w:tc>
      </w:tr>
      <w:tr w:rsidR="00597F61" w:rsidRPr="00597F61" w:rsidTr="003E0016">
        <w:trPr>
          <w:trHeight w:val="2411"/>
        </w:trPr>
        <w:tc>
          <w:tcPr>
            <w:tcW w:w="6573" w:type="dxa"/>
            <w:vMerge/>
          </w:tcPr>
          <w:p w:rsidR="00597F61" w:rsidRPr="00597F61" w:rsidRDefault="00597F61" w:rsidP="003E0016">
            <w:pPr>
              <w:autoSpaceDE w:val="0"/>
              <w:autoSpaceDN w:val="0"/>
              <w:adjustRightInd w:val="0"/>
              <w:spacing w:after="0" w:line="240" w:lineRule="auto"/>
              <w:rPr>
                <w:rFonts w:ascii="Calibri" w:eastAsia="Times New Roman" w:hAnsi="Calibri" w:cs="Calibri"/>
                <w:sz w:val="28"/>
                <w:szCs w:val="20"/>
              </w:rPr>
            </w:pPr>
          </w:p>
        </w:tc>
        <w:tc>
          <w:tcPr>
            <w:tcW w:w="4155" w:type="dxa"/>
          </w:tcPr>
          <w:p w:rsidR="00597F61" w:rsidRPr="00597F61" w:rsidRDefault="00597F61" w:rsidP="003E0016">
            <w:pPr>
              <w:pStyle w:val="ListParagraph"/>
              <w:numPr>
                <w:ilvl w:val="0"/>
                <w:numId w:val="3"/>
              </w:numPr>
              <w:spacing w:after="0" w:line="240" w:lineRule="auto"/>
              <w:rPr>
                <w:rFonts w:ascii="Calibri" w:eastAsia="Times New Roman" w:hAnsi="Calibri" w:cs="Calibri"/>
                <w:sz w:val="28"/>
                <w:szCs w:val="20"/>
              </w:rPr>
            </w:pPr>
            <w:r w:rsidRPr="00597F61">
              <w:rPr>
                <w:rFonts w:ascii="Calibri" w:eastAsia="Times New Roman" w:hAnsi="Calibri" w:cs="Calibri"/>
                <w:sz w:val="28"/>
                <w:szCs w:val="20"/>
              </w:rPr>
              <w:t>Preventable injuries and chronic and acute disease incidence decreases to the best norms, aggregate and by age and socioeconomic cohorts, and within specific communities</w:t>
            </w:r>
          </w:p>
        </w:tc>
        <w:tc>
          <w:tcPr>
            <w:tcW w:w="5040" w:type="dxa"/>
          </w:tcPr>
          <w:p w:rsidR="00597F61" w:rsidRPr="00597F61" w:rsidRDefault="00597F61" w:rsidP="003E0016">
            <w:pPr>
              <w:spacing w:after="0" w:line="240" w:lineRule="auto"/>
              <w:outlineLvl w:val="0"/>
              <w:rPr>
                <w:rFonts w:ascii="Calibri" w:eastAsia="Times New Roman" w:hAnsi="Calibri" w:cs="Calibri"/>
                <w:sz w:val="28"/>
                <w:szCs w:val="20"/>
              </w:rPr>
            </w:pPr>
            <w:r w:rsidRPr="00597F61">
              <w:rPr>
                <w:rFonts w:ascii="Calibri" w:eastAsia="Times New Roman" w:hAnsi="Calibri" w:cs="Calibri"/>
                <w:sz w:val="28"/>
                <w:szCs w:val="20"/>
              </w:rPr>
              <w:t>National health benchmark (best state), OECD health benchmark (best nation), New Jersey benchmark (best similar community)</w:t>
            </w:r>
          </w:p>
        </w:tc>
        <w:tc>
          <w:tcPr>
            <w:tcW w:w="5947" w:type="dxa"/>
          </w:tcPr>
          <w:p w:rsidR="00597F61" w:rsidRPr="00597F61" w:rsidRDefault="00597F61" w:rsidP="003E0016">
            <w:pPr>
              <w:spacing w:after="0" w:line="240" w:lineRule="auto"/>
              <w:outlineLvl w:val="0"/>
              <w:rPr>
                <w:rFonts w:ascii="Calibri" w:eastAsia="Times New Roman" w:hAnsi="Calibri" w:cs="Calibri"/>
                <w:sz w:val="28"/>
                <w:szCs w:val="20"/>
              </w:rPr>
            </w:pPr>
          </w:p>
        </w:tc>
      </w:tr>
      <w:tr w:rsidR="00597F61" w:rsidRPr="00597F61" w:rsidTr="003E0016">
        <w:trPr>
          <w:trHeight w:val="2141"/>
        </w:trPr>
        <w:tc>
          <w:tcPr>
            <w:tcW w:w="6573" w:type="dxa"/>
            <w:vMerge/>
          </w:tcPr>
          <w:p w:rsidR="00597F61" w:rsidRPr="00597F61" w:rsidRDefault="00597F61" w:rsidP="003E0016">
            <w:pPr>
              <w:autoSpaceDE w:val="0"/>
              <w:autoSpaceDN w:val="0"/>
              <w:adjustRightInd w:val="0"/>
              <w:spacing w:after="0" w:line="240" w:lineRule="auto"/>
              <w:rPr>
                <w:rFonts w:ascii="Calibri" w:eastAsia="Times New Roman" w:hAnsi="Calibri" w:cs="Calibri"/>
                <w:sz w:val="28"/>
                <w:szCs w:val="20"/>
              </w:rPr>
            </w:pPr>
          </w:p>
        </w:tc>
        <w:tc>
          <w:tcPr>
            <w:tcW w:w="4155" w:type="dxa"/>
          </w:tcPr>
          <w:p w:rsidR="00597F61" w:rsidRPr="00597F61" w:rsidRDefault="00597F61" w:rsidP="003E0016">
            <w:pPr>
              <w:pStyle w:val="ListParagraph"/>
              <w:numPr>
                <w:ilvl w:val="0"/>
                <w:numId w:val="3"/>
              </w:numPr>
              <w:spacing w:after="0" w:line="240" w:lineRule="auto"/>
              <w:rPr>
                <w:rFonts w:ascii="Calibri" w:eastAsia="Times New Roman" w:hAnsi="Calibri" w:cs="Calibri"/>
                <w:sz w:val="28"/>
                <w:szCs w:val="20"/>
              </w:rPr>
            </w:pPr>
            <w:r w:rsidRPr="00597F61">
              <w:rPr>
                <w:rFonts w:ascii="Calibri" w:eastAsia="Times New Roman" w:hAnsi="Calibri" w:cs="Calibri"/>
                <w:sz w:val="28"/>
                <w:szCs w:val="20"/>
              </w:rPr>
              <w:t>Food access increases and food insecurity decreases for low-income households to the best norms, with very low food security decreasing to insignificant levels</w:t>
            </w:r>
          </w:p>
        </w:tc>
        <w:tc>
          <w:tcPr>
            <w:tcW w:w="5040" w:type="dxa"/>
          </w:tcPr>
          <w:p w:rsidR="00597F61" w:rsidRPr="00597F61" w:rsidRDefault="00597F61" w:rsidP="003E0016">
            <w:pPr>
              <w:spacing w:after="0" w:line="240" w:lineRule="auto"/>
              <w:outlineLvl w:val="0"/>
              <w:rPr>
                <w:rFonts w:ascii="Calibri" w:eastAsia="Times New Roman" w:hAnsi="Calibri" w:cs="Calibri"/>
                <w:sz w:val="28"/>
                <w:szCs w:val="20"/>
              </w:rPr>
            </w:pPr>
            <w:r w:rsidRPr="00597F61">
              <w:rPr>
                <w:rFonts w:ascii="Calibri" w:eastAsia="Times New Roman" w:hAnsi="Calibri" w:cs="Calibri"/>
                <w:sz w:val="28"/>
                <w:szCs w:val="20"/>
              </w:rPr>
              <w:t>National health benchmark (best state), OECD health benchmark (best nation), New Jersey benchmark (best similar community)</w:t>
            </w:r>
          </w:p>
        </w:tc>
        <w:tc>
          <w:tcPr>
            <w:tcW w:w="5947" w:type="dxa"/>
          </w:tcPr>
          <w:p w:rsidR="00597F61" w:rsidRPr="00597F61" w:rsidRDefault="00597F61" w:rsidP="003E0016">
            <w:pPr>
              <w:spacing w:after="0" w:line="240" w:lineRule="auto"/>
              <w:outlineLvl w:val="0"/>
              <w:rPr>
                <w:rFonts w:ascii="Calibri" w:eastAsia="Times New Roman" w:hAnsi="Calibri" w:cs="Calibri"/>
                <w:sz w:val="28"/>
                <w:szCs w:val="20"/>
              </w:rPr>
            </w:pPr>
          </w:p>
        </w:tc>
      </w:tr>
      <w:tr w:rsidR="00597F61" w:rsidRPr="00597F61" w:rsidTr="003E0016">
        <w:trPr>
          <w:trHeight w:val="1601"/>
        </w:trPr>
        <w:tc>
          <w:tcPr>
            <w:tcW w:w="6573" w:type="dxa"/>
            <w:vMerge/>
          </w:tcPr>
          <w:p w:rsidR="00597F61" w:rsidRPr="00597F61" w:rsidRDefault="00597F61" w:rsidP="003E0016">
            <w:pPr>
              <w:autoSpaceDE w:val="0"/>
              <w:autoSpaceDN w:val="0"/>
              <w:adjustRightInd w:val="0"/>
              <w:spacing w:after="0" w:line="240" w:lineRule="auto"/>
              <w:rPr>
                <w:rFonts w:ascii="Calibri" w:eastAsia="Times New Roman" w:hAnsi="Calibri" w:cs="Calibri"/>
                <w:sz w:val="28"/>
                <w:szCs w:val="20"/>
              </w:rPr>
            </w:pPr>
          </w:p>
        </w:tc>
        <w:tc>
          <w:tcPr>
            <w:tcW w:w="4155" w:type="dxa"/>
          </w:tcPr>
          <w:p w:rsidR="00597F61" w:rsidRPr="00597F61" w:rsidRDefault="00597F61" w:rsidP="003E0016">
            <w:pPr>
              <w:pStyle w:val="ListParagraph"/>
              <w:numPr>
                <w:ilvl w:val="0"/>
                <w:numId w:val="3"/>
              </w:numPr>
              <w:spacing w:after="0" w:line="240" w:lineRule="auto"/>
              <w:rPr>
                <w:rFonts w:ascii="Calibri" w:eastAsia="Times New Roman" w:hAnsi="Calibri" w:cs="Calibri"/>
                <w:sz w:val="28"/>
                <w:szCs w:val="20"/>
              </w:rPr>
            </w:pPr>
            <w:r w:rsidRPr="00597F61">
              <w:rPr>
                <w:rFonts w:ascii="Calibri" w:eastAsia="Times New Roman" w:hAnsi="Calibri" w:cs="Calibri"/>
                <w:sz w:val="28"/>
                <w:szCs w:val="20"/>
              </w:rPr>
              <w:t>Health and wellness costs are affordable, on aggregate and for low- and moderate-income households</w:t>
            </w:r>
          </w:p>
        </w:tc>
        <w:tc>
          <w:tcPr>
            <w:tcW w:w="5040" w:type="dxa"/>
          </w:tcPr>
          <w:p w:rsidR="00597F61" w:rsidRPr="00597F61" w:rsidRDefault="00597F61" w:rsidP="003E0016">
            <w:pPr>
              <w:spacing w:after="0" w:line="240" w:lineRule="auto"/>
              <w:outlineLvl w:val="0"/>
              <w:rPr>
                <w:rFonts w:ascii="Calibri" w:eastAsia="Times New Roman" w:hAnsi="Calibri" w:cs="Calibri"/>
                <w:sz w:val="28"/>
                <w:szCs w:val="20"/>
              </w:rPr>
            </w:pPr>
            <w:r w:rsidRPr="00597F61">
              <w:rPr>
                <w:rFonts w:ascii="Calibri" w:eastAsia="Times New Roman" w:hAnsi="Calibri" w:cs="Calibri"/>
                <w:sz w:val="28"/>
                <w:szCs w:val="20"/>
              </w:rPr>
              <w:t>Total health and wellness costs per household, including community and individual preventive and reactive interventions</w:t>
            </w:r>
          </w:p>
        </w:tc>
        <w:tc>
          <w:tcPr>
            <w:tcW w:w="5947" w:type="dxa"/>
          </w:tcPr>
          <w:p w:rsidR="00597F61" w:rsidRPr="00597F61" w:rsidRDefault="00597F61" w:rsidP="003E0016">
            <w:pPr>
              <w:spacing w:after="0" w:line="240" w:lineRule="auto"/>
              <w:outlineLvl w:val="0"/>
              <w:rPr>
                <w:rFonts w:ascii="Calibri" w:eastAsia="Times New Roman" w:hAnsi="Calibri" w:cs="Calibri"/>
                <w:sz w:val="28"/>
                <w:szCs w:val="20"/>
              </w:rPr>
            </w:pPr>
          </w:p>
        </w:tc>
      </w:tr>
      <w:tr w:rsidR="00597F61" w:rsidRPr="00597F61" w:rsidTr="003E0016">
        <w:trPr>
          <w:trHeight w:val="1169"/>
        </w:trPr>
        <w:tc>
          <w:tcPr>
            <w:tcW w:w="6573" w:type="dxa"/>
            <w:vMerge/>
          </w:tcPr>
          <w:p w:rsidR="00597F61" w:rsidRPr="00597F61" w:rsidRDefault="00597F61" w:rsidP="003E0016">
            <w:pPr>
              <w:autoSpaceDE w:val="0"/>
              <w:autoSpaceDN w:val="0"/>
              <w:adjustRightInd w:val="0"/>
              <w:spacing w:after="0" w:line="240" w:lineRule="auto"/>
              <w:rPr>
                <w:rFonts w:ascii="Calibri" w:eastAsia="Times New Roman" w:hAnsi="Calibri" w:cs="Calibri"/>
                <w:sz w:val="28"/>
                <w:szCs w:val="20"/>
              </w:rPr>
            </w:pPr>
          </w:p>
        </w:tc>
        <w:tc>
          <w:tcPr>
            <w:tcW w:w="4155" w:type="dxa"/>
          </w:tcPr>
          <w:p w:rsidR="00597F61" w:rsidRPr="00597F61" w:rsidRDefault="00597F61" w:rsidP="003E0016">
            <w:pPr>
              <w:pStyle w:val="ListParagraph"/>
              <w:numPr>
                <w:ilvl w:val="0"/>
                <w:numId w:val="3"/>
              </w:numPr>
              <w:spacing w:after="0" w:line="240" w:lineRule="auto"/>
              <w:rPr>
                <w:rFonts w:ascii="Calibri" w:eastAsia="Times New Roman" w:hAnsi="Calibri" w:cs="Calibri"/>
                <w:sz w:val="28"/>
                <w:szCs w:val="20"/>
              </w:rPr>
            </w:pPr>
            <w:r w:rsidRPr="00597F61">
              <w:rPr>
                <w:rFonts w:ascii="Calibri" w:eastAsia="Times New Roman" w:hAnsi="Calibri" w:cs="Calibri"/>
                <w:sz w:val="28"/>
                <w:szCs w:val="20"/>
              </w:rPr>
              <w:t>Acute health care costs decline relative to economy</w:t>
            </w:r>
          </w:p>
        </w:tc>
        <w:tc>
          <w:tcPr>
            <w:tcW w:w="5040" w:type="dxa"/>
          </w:tcPr>
          <w:p w:rsidR="00597F61" w:rsidRPr="00597F61" w:rsidRDefault="00597F61" w:rsidP="003E0016">
            <w:pPr>
              <w:spacing w:after="0" w:line="240" w:lineRule="auto"/>
              <w:outlineLvl w:val="0"/>
              <w:rPr>
                <w:rFonts w:ascii="Calibri" w:eastAsia="Times New Roman" w:hAnsi="Calibri" w:cs="Calibri"/>
                <w:sz w:val="28"/>
                <w:szCs w:val="20"/>
              </w:rPr>
            </w:pPr>
            <w:r w:rsidRPr="00597F61">
              <w:rPr>
                <w:rFonts w:ascii="Calibri" w:eastAsia="Times New Roman" w:hAnsi="Calibri" w:cs="Calibri"/>
                <w:sz w:val="28"/>
                <w:szCs w:val="20"/>
              </w:rPr>
              <w:t>Acute health care costs as a percentage of total health and wellness costs and of State GDP</w:t>
            </w:r>
          </w:p>
        </w:tc>
        <w:tc>
          <w:tcPr>
            <w:tcW w:w="5947" w:type="dxa"/>
          </w:tcPr>
          <w:p w:rsidR="00597F61" w:rsidRPr="00597F61" w:rsidRDefault="00597F61" w:rsidP="003E0016">
            <w:pPr>
              <w:spacing w:after="0" w:line="240" w:lineRule="auto"/>
              <w:outlineLvl w:val="0"/>
              <w:rPr>
                <w:rFonts w:ascii="Calibri" w:eastAsia="Times New Roman" w:hAnsi="Calibri" w:cs="Calibri"/>
                <w:sz w:val="28"/>
                <w:szCs w:val="20"/>
              </w:rPr>
            </w:pPr>
          </w:p>
        </w:tc>
      </w:tr>
      <w:tr w:rsidR="00597F61" w:rsidRPr="00597F61" w:rsidTr="003E0016">
        <w:trPr>
          <w:trHeight w:val="1340"/>
        </w:trPr>
        <w:tc>
          <w:tcPr>
            <w:tcW w:w="6573" w:type="dxa"/>
            <w:vMerge/>
          </w:tcPr>
          <w:p w:rsidR="00597F61" w:rsidRPr="00597F61" w:rsidRDefault="00597F61" w:rsidP="003E0016">
            <w:pPr>
              <w:autoSpaceDE w:val="0"/>
              <w:autoSpaceDN w:val="0"/>
              <w:adjustRightInd w:val="0"/>
              <w:spacing w:after="0" w:line="240" w:lineRule="auto"/>
              <w:rPr>
                <w:rFonts w:ascii="Calibri" w:eastAsia="Times New Roman" w:hAnsi="Calibri" w:cs="Calibri"/>
                <w:sz w:val="28"/>
                <w:szCs w:val="20"/>
              </w:rPr>
            </w:pPr>
          </w:p>
        </w:tc>
        <w:tc>
          <w:tcPr>
            <w:tcW w:w="4155" w:type="dxa"/>
          </w:tcPr>
          <w:p w:rsidR="00597F61" w:rsidRPr="00597F61" w:rsidRDefault="00597F61" w:rsidP="003E0016">
            <w:pPr>
              <w:pStyle w:val="ListParagraph"/>
              <w:numPr>
                <w:ilvl w:val="0"/>
                <w:numId w:val="3"/>
              </w:numPr>
              <w:spacing w:after="0" w:line="240" w:lineRule="auto"/>
              <w:rPr>
                <w:rFonts w:ascii="Calibri" w:eastAsia="Times New Roman" w:hAnsi="Calibri" w:cs="Calibri"/>
                <w:sz w:val="28"/>
                <w:szCs w:val="20"/>
              </w:rPr>
            </w:pPr>
            <w:r w:rsidRPr="00597F61">
              <w:rPr>
                <w:rFonts w:ascii="Calibri" w:eastAsia="Times New Roman" w:hAnsi="Calibri" w:cs="Calibri"/>
                <w:sz w:val="28"/>
                <w:szCs w:val="20"/>
              </w:rPr>
              <w:t>People feel healthy, leading to increased social and economic wellbeing</w:t>
            </w:r>
          </w:p>
        </w:tc>
        <w:tc>
          <w:tcPr>
            <w:tcW w:w="5040" w:type="dxa"/>
          </w:tcPr>
          <w:p w:rsidR="00597F61" w:rsidRPr="00597F61" w:rsidRDefault="00597F61" w:rsidP="003E0016">
            <w:pPr>
              <w:spacing w:after="0" w:line="240" w:lineRule="auto"/>
              <w:outlineLvl w:val="0"/>
              <w:rPr>
                <w:rFonts w:ascii="Calibri" w:eastAsia="Times New Roman" w:hAnsi="Calibri" w:cs="Calibri"/>
                <w:sz w:val="28"/>
                <w:szCs w:val="20"/>
              </w:rPr>
            </w:pPr>
            <w:r w:rsidRPr="00597F61">
              <w:rPr>
                <w:rFonts w:ascii="Calibri" w:eastAsia="Times New Roman" w:hAnsi="Calibri" w:cs="Calibri"/>
                <w:sz w:val="28"/>
                <w:szCs w:val="20"/>
              </w:rPr>
              <w:t>Health surveys</w:t>
            </w:r>
          </w:p>
        </w:tc>
        <w:tc>
          <w:tcPr>
            <w:tcW w:w="5947" w:type="dxa"/>
          </w:tcPr>
          <w:p w:rsidR="00597F61" w:rsidRPr="00597F61" w:rsidRDefault="00597F61" w:rsidP="003E0016">
            <w:pPr>
              <w:spacing w:after="0" w:line="240" w:lineRule="auto"/>
              <w:outlineLvl w:val="0"/>
              <w:rPr>
                <w:rFonts w:ascii="Calibri" w:eastAsia="Times New Roman" w:hAnsi="Calibri" w:cs="Calibri"/>
                <w:sz w:val="28"/>
                <w:szCs w:val="20"/>
              </w:rPr>
            </w:pPr>
          </w:p>
        </w:tc>
      </w:tr>
    </w:tbl>
    <w:p w:rsidR="003E0016" w:rsidRDefault="003E0016" w:rsidP="003E0016">
      <w:pPr>
        <w:spacing w:after="0"/>
        <w:rPr>
          <w:b/>
          <w:sz w:val="28"/>
          <w:szCs w:val="28"/>
        </w:rPr>
      </w:pPr>
      <w:r>
        <w:rPr>
          <w:b/>
          <w:sz w:val="28"/>
          <w:szCs w:val="28"/>
        </w:rPr>
        <w:t>Sustainability Summit</w:t>
      </w:r>
    </w:p>
    <w:p w:rsidR="003E0016" w:rsidRDefault="003E0016" w:rsidP="003E0016">
      <w:pPr>
        <w:rPr>
          <w:b/>
          <w:sz w:val="40"/>
        </w:rPr>
      </w:pPr>
      <w:r>
        <w:rPr>
          <w:b/>
          <w:noProof/>
          <w:sz w:val="28"/>
          <w:szCs w:val="28"/>
        </w:rPr>
        <mc:AlternateContent>
          <mc:Choice Requires="wps">
            <w:drawing>
              <wp:anchor distT="0" distB="0" distL="114300" distR="114300" simplePos="0" relativeHeight="251659264" behindDoc="0" locked="0" layoutInCell="1" allowOverlap="1" wp14:anchorId="512DF3FC" wp14:editId="6AF5E056">
                <wp:simplePos x="0" y="0"/>
                <wp:positionH relativeFrom="column">
                  <wp:posOffset>10302240</wp:posOffset>
                </wp:positionH>
                <wp:positionV relativeFrom="paragraph">
                  <wp:posOffset>207645</wp:posOffset>
                </wp:positionV>
                <wp:extent cx="3383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383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1.2pt,16.35pt" to="107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" strokecolor="black [3040]"/>
            </w:pict>
          </mc:Fallback>
        </mc:AlternateContent>
      </w:r>
      <w:r w:rsidRPr="0066177D">
        <w:rPr>
          <w:b/>
          <w:sz w:val="28"/>
          <w:szCs w:val="28"/>
        </w:rPr>
        <w:t xml:space="preserve">Preliminary </w:t>
      </w:r>
      <w:r>
        <w:rPr>
          <w:b/>
          <w:sz w:val="28"/>
          <w:szCs w:val="28"/>
        </w:rPr>
        <w:t xml:space="preserve">Public Wellness </w:t>
      </w:r>
      <w:r w:rsidRPr="0066177D">
        <w:rPr>
          <w:b/>
          <w:sz w:val="28"/>
          <w:szCs w:val="28"/>
        </w:rPr>
        <w:t>Sustainability Indicators and Targets</w:t>
      </w:r>
      <w:r>
        <w:rPr>
          <w:b/>
          <w:sz w:val="28"/>
          <w:szCs w:val="28"/>
        </w:rPr>
        <w:t xml:space="preserve">:  Participant Feedback Sheet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Name</w:t>
      </w:r>
    </w:p>
    <w:p w:rsidR="003E0016" w:rsidRDefault="003E0016" w:rsidP="003E0016">
      <w:pPr>
        <w:spacing w:after="0"/>
        <w:rPr>
          <w:b/>
          <w:sz w:val="28"/>
          <w:szCs w:val="28"/>
        </w:rPr>
      </w:pPr>
      <w:r>
        <w:rPr>
          <w:b/>
          <w:sz w:val="28"/>
          <w:szCs w:val="28"/>
        </w:rPr>
        <w:lastRenderedPageBreak/>
        <w:t>Sustainability Summit</w:t>
      </w:r>
    </w:p>
    <w:p w:rsidR="00576BEF" w:rsidRPr="00714472" w:rsidRDefault="003E0016" w:rsidP="003E0016">
      <w:pPr>
        <w:tabs>
          <w:tab w:val="right" w:pos="21600"/>
        </w:tabs>
        <w:rPr>
          <w:b/>
          <w:sz w:val="28"/>
          <w:szCs w:val="28"/>
        </w:rPr>
      </w:pPr>
      <w:r w:rsidRPr="0066177D">
        <w:rPr>
          <w:b/>
          <w:sz w:val="28"/>
          <w:szCs w:val="28"/>
        </w:rPr>
        <w:t xml:space="preserve">Preliminary </w:t>
      </w:r>
      <w:r>
        <w:rPr>
          <w:b/>
          <w:sz w:val="28"/>
          <w:szCs w:val="28"/>
        </w:rPr>
        <w:t xml:space="preserve">Air Quality </w:t>
      </w:r>
      <w:r w:rsidRPr="0066177D">
        <w:rPr>
          <w:b/>
          <w:sz w:val="28"/>
          <w:szCs w:val="28"/>
        </w:rPr>
        <w:t>Sustainability Indicators and Targets</w:t>
      </w:r>
      <w:r>
        <w:rPr>
          <w:b/>
          <w:sz w:val="28"/>
          <w:szCs w:val="28"/>
        </w:rPr>
        <w:t>:  Participant Feedback Sheet</w:t>
      </w:r>
    </w:p>
    <w:tbl>
      <w:tblPr>
        <w:tblW w:w="2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4140"/>
        <w:gridCol w:w="5040"/>
        <w:gridCol w:w="5940"/>
      </w:tblGrid>
      <w:tr w:rsidR="00463C99" w:rsidRPr="0014565A" w:rsidTr="00576BEF">
        <w:trPr>
          <w:trHeight w:val="515"/>
          <w:tblHeader/>
        </w:trPr>
        <w:tc>
          <w:tcPr>
            <w:tcW w:w="6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3C99" w:rsidRPr="007307DF" w:rsidRDefault="00463C99" w:rsidP="00FF1D42">
            <w:pPr>
              <w:jc w:val="center"/>
              <w:rPr>
                <w:rFonts w:ascii="Calibri" w:hAnsi="Calibri" w:cs="Calibri"/>
                <w:b/>
                <w:sz w:val="32"/>
                <w:szCs w:val="20"/>
              </w:rPr>
            </w:pPr>
            <w:r w:rsidRPr="007307DF">
              <w:rPr>
                <w:rFonts w:ascii="Calibri" w:hAnsi="Calibri" w:cs="Calibri"/>
                <w:b/>
                <w:sz w:val="32"/>
                <w:szCs w:val="20"/>
              </w:rPr>
              <w:t>Sustainability Definition</w:t>
            </w:r>
          </w:p>
        </w:tc>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3C99" w:rsidRPr="007307DF" w:rsidRDefault="00463C99" w:rsidP="00FF1D4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Sustainability Indicators</w:t>
            </w:r>
          </w:p>
        </w:tc>
        <w:tc>
          <w:tcPr>
            <w:tcW w:w="5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3C99" w:rsidRPr="007307DF" w:rsidRDefault="00463C99" w:rsidP="00FF1D4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Targets</w:t>
            </w:r>
          </w:p>
        </w:tc>
        <w:tc>
          <w:tcPr>
            <w:tcW w:w="5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3C99" w:rsidRPr="007307DF" w:rsidRDefault="00463C99" w:rsidP="00FF1D42">
            <w:pPr>
              <w:jc w:val="center"/>
              <w:rPr>
                <w:rFonts w:ascii="Calibri" w:hAnsi="Calibri" w:cs="Calibri"/>
                <w:b/>
                <w:sz w:val="32"/>
                <w:szCs w:val="20"/>
              </w:rPr>
            </w:pPr>
            <w:r w:rsidRPr="007307DF">
              <w:rPr>
                <w:rFonts w:ascii="Calibri" w:hAnsi="Calibri" w:cs="Calibri"/>
                <w:b/>
                <w:sz w:val="32"/>
                <w:szCs w:val="20"/>
              </w:rPr>
              <w:t>Comments</w:t>
            </w:r>
          </w:p>
        </w:tc>
      </w:tr>
      <w:tr w:rsidR="00463C99" w:rsidRPr="0014565A" w:rsidTr="00576BEF">
        <w:trPr>
          <w:trHeight w:val="1932"/>
        </w:trPr>
        <w:tc>
          <w:tcPr>
            <w:tcW w:w="6588" w:type="dxa"/>
            <w:vMerge w:val="restart"/>
            <w:tcBorders>
              <w:top w:val="single" w:sz="4" w:space="0" w:color="auto"/>
              <w:left w:val="single" w:sz="4" w:space="0" w:color="auto"/>
              <w:right w:val="single" w:sz="4" w:space="0" w:color="auto"/>
            </w:tcBorders>
            <w:shd w:val="clear" w:color="auto" w:fill="auto"/>
          </w:tcPr>
          <w:p w:rsidR="00463C99" w:rsidRPr="007307DF" w:rsidRDefault="00463C99" w:rsidP="00FF1D42">
            <w:pPr>
              <w:rPr>
                <w:rFonts w:ascii="Calibri" w:hAnsi="Calibri" w:cs="Calibri"/>
                <w:color w:val="231F20"/>
                <w:sz w:val="28"/>
                <w:szCs w:val="20"/>
              </w:rPr>
            </w:pPr>
            <w:r w:rsidRPr="007307DF">
              <w:rPr>
                <w:rFonts w:ascii="Calibri" w:hAnsi="Calibri" w:cs="Calibri"/>
                <w:color w:val="231F20"/>
                <w:sz w:val="28"/>
                <w:szCs w:val="20"/>
              </w:rPr>
              <w:t>Ambient Air Quality is sustainable when National Ambient Air Quality Standards are achieved throughout New Jersey, and ambient air quality and the migration and deposition of air pollutants pose no significant direct or indirect health threats to sensitive populations and natural resources.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r w:rsidRPr="007307DF">
              <w:rPr>
                <w:rFonts w:ascii="Calibri" w:hAnsi="Calibri"/>
                <w:sz w:val="28"/>
                <w:szCs w:val="20"/>
              </w:rPr>
              <w:t>Achievement of National Ambient Air Quality Standards</w:t>
            </w:r>
          </w:p>
          <w:p w:rsidR="00463C99" w:rsidRPr="007307DF" w:rsidRDefault="00463C99" w:rsidP="00FF1D42">
            <w:pPr>
              <w:rPr>
                <w:rFonts w:ascii="Calibri" w:hAnsi="Calibri"/>
                <w:sz w:val="28"/>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sz w:val="28"/>
                <w:szCs w:val="20"/>
              </w:rPr>
            </w:pPr>
            <w:bookmarkStart w:id="0" w:name="_Toc355330073"/>
            <w:r w:rsidRPr="007307DF">
              <w:rPr>
                <w:rFonts w:ascii="Calibri" w:hAnsi="Calibri" w:cs="Calibri"/>
                <w:sz w:val="28"/>
                <w:szCs w:val="20"/>
              </w:rPr>
              <w:t>Concentrations of “criteria” pollutants</w:t>
            </w:r>
            <w:bookmarkEnd w:id="0"/>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63C99" w:rsidRPr="0014565A" w:rsidRDefault="00463C99" w:rsidP="00FF1D42">
            <w:pPr>
              <w:rPr>
                <w:rFonts w:ascii="Calibri" w:hAnsi="Calibri" w:cs="Calibri"/>
                <w:sz w:val="20"/>
                <w:szCs w:val="20"/>
              </w:rPr>
            </w:pPr>
          </w:p>
        </w:tc>
      </w:tr>
      <w:tr w:rsidR="00463C99" w:rsidRPr="0014565A" w:rsidTr="00576BEF">
        <w:trPr>
          <w:trHeight w:val="3054"/>
        </w:trPr>
        <w:tc>
          <w:tcPr>
            <w:tcW w:w="6588" w:type="dxa"/>
            <w:vMerge/>
            <w:tcBorders>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color w:val="231F20"/>
                <w:sz w:val="28"/>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r w:rsidRPr="007307DF">
              <w:rPr>
                <w:rFonts w:ascii="Calibri" w:hAnsi="Calibri"/>
                <w:sz w:val="28"/>
                <w:szCs w:val="20"/>
              </w:rPr>
              <w:t>Watersheds are not toxic to aquatic life</w:t>
            </w:r>
          </w:p>
          <w:p w:rsidR="00463C99" w:rsidRPr="007307DF" w:rsidRDefault="00463C99" w:rsidP="00FF1D42">
            <w:pPr>
              <w:rPr>
                <w:rFonts w:ascii="Calibri" w:hAnsi="Calibri"/>
                <w:sz w:val="28"/>
                <w:szCs w:val="20"/>
              </w:rPr>
            </w:pPr>
            <w:r w:rsidRPr="007307DF">
              <w:rPr>
                <w:rFonts w:ascii="Calibri" w:hAnsi="Calibri"/>
                <w:sz w:val="28"/>
                <w:szCs w:val="20"/>
              </w:rPr>
              <w:t>Fish consumption advisories and bans are no longer required in New Jersey waters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bookmarkStart w:id="1" w:name="_Toc355330076"/>
            <w:r w:rsidRPr="007307DF">
              <w:rPr>
                <w:rFonts w:ascii="Calibri" w:hAnsi="Calibri"/>
                <w:sz w:val="28"/>
                <w:szCs w:val="20"/>
              </w:rPr>
              <w:t>Aquatic life morphologic aberrations due to toxicity</w:t>
            </w:r>
            <w:bookmarkEnd w:id="1"/>
            <w:r w:rsidRPr="007307DF">
              <w:rPr>
                <w:rFonts w:ascii="Calibri" w:hAnsi="Calibri"/>
                <w:sz w:val="28"/>
                <w:szCs w:val="20"/>
              </w:rPr>
              <w:t xml:space="preserve"> </w:t>
            </w:r>
          </w:p>
          <w:p w:rsidR="00463C99" w:rsidRPr="007307DF" w:rsidRDefault="00463C99" w:rsidP="00FF1D42">
            <w:pPr>
              <w:rPr>
                <w:rFonts w:ascii="Calibri" w:hAnsi="Calibri" w:cs="Calibri"/>
                <w:sz w:val="28"/>
                <w:szCs w:val="20"/>
              </w:rPr>
            </w:pPr>
            <w:bookmarkStart w:id="2" w:name="_Toc355330077"/>
            <w:r w:rsidRPr="007307DF">
              <w:rPr>
                <w:rFonts w:ascii="Calibri" w:hAnsi="Calibri"/>
                <w:sz w:val="28"/>
                <w:szCs w:val="20"/>
              </w:rPr>
              <w:t>Bioaccumulation of toxic substances in fish</w:t>
            </w:r>
            <w:bookmarkEnd w:id="2"/>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63C99" w:rsidRPr="0014565A" w:rsidRDefault="00463C99" w:rsidP="00FF1D42">
            <w:pPr>
              <w:rPr>
                <w:rFonts w:ascii="Calibri" w:hAnsi="Calibri" w:cs="Calibri"/>
                <w:sz w:val="20"/>
                <w:szCs w:val="20"/>
              </w:rPr>
            </w:pPr>
          </w:p>
        </w:tc>
      </w:tr>
      <w:tr w:rsidR="00463C99" w:rsidRPr="0014565A" w:rsidTr="00576BEF">
        <w:trPr>
          <w:trHeight w:val="2896"/>
        </w:trPr>
        <w:tc>
          <w:tcPr>
            <w:tcW w:w="6588"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color w:val="231F20"/>
                <w:sz w:val="28"/>
                <w:szCs w:val="20"/>
              </w:rPr>
            </w:pPr>
            <w:r w:rsidRPr="007307DF">
              <w:rPr>
                <w:rFonts w:ascii="Calibri" w:hAnsi="Calibri" w:cs="Calibri"/>
                <w:color w:val="231F20"/>
                <w:sz w:val="28"/>
                <w:szCs w:val="20"/>
              </w:rPr>
              <w:t>Neighborhood Air Quality is sustainable when children and other sensitive populations in urban neighborhoods have health effects related to outside air quality that are comparable to those in other areas of New Jersey.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r w:rsidRPr="007307DF">
              <w:rPr>
                <w:rFonts w:ascii="Calibri" w:hAnsi="Calibri"/>
                <w:sz w:val="28"/>
                <w:szCs w:val="20"/>
              </w:rPr>
              <w:t>Health outcome comparison of urban and nonurban neighborhoods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sz w:val="28"/>
                <w:szCs w:val="20"/>
              </w:rPr>
            </w:pPr>
            <w:bookmarkStart w:id="3" w:name="_Toc355330080"/>
            <w:r w:rsidRPr="007307DF">
              <w:rPr>
                <w:rFonts w:ascii="Calibri" w:hAnsi="Calibri" w:cs="Calibri"/>
                <w:sz w:val="28"/>
                <w:szCs w:val="20"/>
              </w:rPr>
              <w:t>Asthma rates in children by neighborhood category and socioeconomic group</w:t>
            </w:r>
            <w:bookmarkEnd w:id="3"/>
          </w:p>
          <w:p w:rsidR="00463C99" w:rsidRPr="007307DF" w:rsidRDefault="00463C99" w:rsidP="00FF1D42">
            <w:pPr>
              <w:rPr>
                <w:rFonts w:ascii="Calibri" w:hAnsi="Calibri" w:cs="Calibri"/>
                <w:sz w:val="28"/>
                <w:szCs w:val="20"/>
              </w:rPr>
            </w:pPr>
            <w:bookmarkStart w:id="4" w:name="_Toc355330081"/>
            <w:r w:rsidRPr="007307DF">
              <w:rPr>
                <w:rFonts w:ascii="Calibri" w:hAnsi="Calibri" w:cs="Calibri"/>
                <w:sz w:val="28"/>
                <w:szCs w:val="20"/>
              </w:rPr>
              <w:t>Asthma rates in sensitive adult populations by neighborhood category and socioeconomic group</w:t>
            </w:r>
            <w:bookmarkEnd w:id="4"/>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63C99" w:rsidRPr="0014565A" w:rsidRDefault="00463C99" w:rsidP="00FF1D42">
            <w:pPr>
              <w:rPr>
                <w:rFonts w:ascii="Calibri" w:hAnsi="Calibri" w:cs="Calibri"/>
                <w:sz w:val="20"/>
                <w:szCs w:val="20"/>
              </w:rPr>
            </w:pPr>
          </w:p>
        </w:tc>
      </w:tr>
    </w:tbl>
    <w:p w:rsidR="00463C99" w:rsidRDefault="00463C99" w:rsidP="003E0016">
      <w:pPr>
        <w:rPr>
          <w:b/>
          <w:sz w:val="36"/>
        </w:rPr>
      </w:pPr>
    </w:p>
    <w:p w:rsidR="003E0016" w:rsidRDefault="003E0016" w:rsidP="003E0016">
      <w:pPr>
        <w:rPr>
          <w:b/>
          <w:sz w:val="36"/>
        </w:rPr>
      </w:pPr>
    </w:p>
    <w:p w:rsidR="003E0016" w:rsidRDefault="003E0016" w:rsidP="003E0016">
      <w:pPr>
        <w:rPr>
          <w:b/>
          <w:sz w:val="36"/>
        </w:rPr>
      </w:pPr>
    </w:p>
    <w:p w:rsidR="003E0016" w:rsidRDefault="003E0016" w:rsidP="003E0016">
      <w:pPr>
        <w:rPr>
          <w:b/>
          <w:sz w:val="36"/>
        </w:rPr>
      </w:pPr>
    </w:p>
    <w:p w:rsidR="00714472" w:rsidRDefault="00714472" w:rsidP="00714472">
      <w:pPr>
        <w:spacing w:after="0"/>
        <w:rPr>
          <w:b/>
          <w:sz w:val="28"/>
          <w:szCs w:val="28"/>
        </w:rPr>
      </w:pPr>
      <w:r>
        <w:rPr>
          <w:b/>
          <w:sz w:val="28"/>
          <w:szCs w:val="28"/>
        </w:rPr>
        <w:lastRenderedPageBreak/>
        <w:t>Sustainability Summit</w:t>
      </w:r>
    </w:p>
    <w:p w:rsidR="003E0016" w:rsidRPr="00714472" w:rsidRDefault="00714472" w:rsidP="00714472">
      <w:pPr>
        <w:tabs>
          <w:tab w:val="right" w:pos="21600"/>
        </w:tabs>
        <w:rPr>
          <w:b/>
          <w:sz w:val="28"/>
          <w:szCs w:val="28"/>
        </w:rPr>
      </w:pPr>
      <w:r w:rsidRPr="0066177D">
        <w:rPr>
          <w:b/>
          <w:sz w:val="28"/>
          <w:szCs w:val="28"/>
        </w:rPr>
        <w:t xml:space="preserve">Preliminary </w:t>
      </w:r>
      <w:r>
        <w:rPr>
          <w:b/>
          <w:sz w:val="28"/>
          <w:szCs w:val="28"/>
        </w:rPr>
        <w:t xml:space="preserve">Indoor Health </w:t>
      </w:r>
      <w:r w:rsidRPr="0066177D">
        <w:rPr>
          <w:b/>
          <w:sz w:val="28"/>
          <w:szCs w:val="28"/>
        </w:rPr>
        <w:t>Sustainability Indicators and Targets</w:t>
      </w:r>
      <w:r>
        <w:rPr>
          <w:b/>
          <w:sz w:val="28"/>
          <w:szCs w:val="28"/>
        </w:rPr>
        <w:t>:  Participant Feedback Sheet</w:t>
      </w:r>
    </w:p>
    <w:tbl>
      <w:tblPr>
        <w:tblpPr w:leftFromText="180" w:rightFromText="180" w:vertAnchor="page" w:horzAnchor="margin" w:tblpY="2737"/>
        <w:tblW w:w="2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590"/>
        <w:gridCol w:w="4590"/>
        <w:gridCol w:w="7200"/>
      </w:tblGrid>
      <w:tr w:rsidR="00714472" w:rsidRPr="00FF1D42" w:rsidTr="00576BEF">
        <w:trPr>
          <w:trHeight w:val="980"/>
        </w:trPr>
        <w:tc>
          <w:tcPr>
            <w:tcW w:w="5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cs="Calibri"/>
                <w:b/>
                <w:sz w:val="32"/>
                <w:szCs w:val="20"/>
              </w:rPr>
              <w:t>Sustainability Definition</w:t>
            </w:r>
          </w:p>
        </w:tc>
        <w:tc>
          <w:tcPr>
            <w:tcW w:w="4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Sustainability Indicators</w:t>
            </w:r>
          </w:p>
        </w:tc>
        <w:tc>
          <w:tcPr>
            <w:tcW w:w="4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Targets</w:t>
            </w:r>
          </w:p>
        </w:tc>
        <w:tc>
          <w:tcPr>
            <w:tcW w:w="7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cs="Calibri"/>
                <w:b/>
                <w:sz w:val="32"/>
                <w:szCs w:val="20"/>
              </w:rPr>
              <w:t>Comments</w:t>
            </w:r>
          </w:p>
        </w:tc>
      </w:tr>
      <w:tr w:rsidR="00714472" w:rsidRPr="00FF1D42" w:rsidTr="00576BEF">
        <w:trPr>
          <w:trHeight w:val="3590"/>
        </w:trPr>
        <w:tc>
          <w:tcPr>
            <w:tcW w:w="5418"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color w:val="231F20"/>
                <w:sz w:val="28"/>
                <w:szCs w:val="20"/>
              </w:rPr>
            </w:pPr>
            <w:r w:rsidRPr="00A3168F">
              <w:rPr>
                <w:rFonts w:ascii="Calibri" w:hAnsi="Calibri" w:cs="Calibri"/>
                <w:color w:val="231F20"/>
                <w:sz w:val="28"/>
                <w:szCs w:val="20"/>
              </w:rPr>
              <w:t>Indoor Air Quality poses no significant direct or indirect health threats for the general population or specific socioeconomic groups, as measured by effects on residents, workers, and especially sensitive populations such as children, the elderly and immune-compromised populations.</w:t>
            </w:r>
            <w:r>
              <w:rPr>
                <w:rFonts w:ascii="Calibri" w:hAnsi="Calibri" w:cs="Calibri"/>
                <w:color w:val="231F20"/>
                <w:sz w:val="28"/>
                <w:szCs w:val="20"/>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sz w:val="28"/>
                <w:szCs w:val="20"/>
              </w:rPr>
            </w:pPr>
            <w:bookmarkStart w:id="5" w:name="_Toc355330084"/>
            <w:r w:rsidRPr="00A3168F">
              <w:rPr>
                <w:rFonts w:ascii="Calibri" w:hAnsi="Calibri"/>
                <w:sz w:val="28"/>
                <w:szCs w:val="20"/>
              </w:rPr>
              <w:t>•  Asthma rates in children by neighborhood category and socioeconomic group</w:t>
            </w:r>
            <w:bookmarkEnd w:id="5"/>
          </w:p>
          <w:p w:rsidR="00714472" w:rsidRPr="00A3168F" w:rsidRDefault="00714472" w:rsidP="00714472">
            <w:pPr>
              <w:rPr>
                <w:rFonts w:ascii="Calibri" w:hAnsi="Calibri"/>
                <w:sz w:val="28"/>
                <w:szCs w:val="20"/>
              </w:rPr>
            </w:pPr>
            <w:bookmarkStart w:id="6" w:name="_Toc355330085"/>
            <w:r w:rsidRPr="00A3168F">
              <w:rPr>
                <w:rFonts w:ascii="Calibri" w:hAnsi="Calibri"/>
                <w:sz w:val="28"/>
                <w:szCs w:val="20"/>
              </w:rPr>
              <w:t>•  Asthma rates in sensitive adult populations by neighborhood category and socioeconomic group</w:t>
            </w:r>
            <w:bookmarkEnd w:id="6"/>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pStyle w:val="ListParagraph"/>
              <w:numPr>
                <w:ilvl w:val="0"/>
                <w:numId w:val="4"/>
              </w:numPr>
              <w:spacing w:after="120" w:line="240" w:lineRule="auto"/>
              <w:ind w:left="187" w:hanging="187"/>
              <w:contextualSpacing w:val="0"/>
              <w:rPr>
                <w:rFonts w:ascii="Calibri" w:hAnsi="Calibri" w:cs="Calibri"/>
                <w:sz w:val="28"/>
                <w:szCs w:val="20"/>
              </w:rPr>
            </w:pPr>
            <w:r w:rsidRPr="00A3168F">
              <w:rPr>
                <w:rFonts w:ascii="Calibri" w:hAnsi="Calibri" w:cs="Calibri"/>
                <w:sz w:val="28"/>
                <w:szCs w:val="20"/>
              </w:rPr>
              <w:t>Reduced incidence of air quality related health issues</w:t>
            </w:r>
          </w:p>
          <w:p w:rsidR="00714472" w:rsidRPr="00A3168F" w:rsidRDefault="00714472" w:rsidP="00714472">
            <w:pPr>
              <w:pStyle w:val="ListParagraph"/>
              <w:numPr>
                <w:ilvl w:val="0"/>
                <w:numId w:val="4"/>
              </w:numPr>
              <w:spacing w:after="0" w:line="240" w:lineRule="auto"/>
              <w:ind w:left="216" w:hanging="187"/>
              <w:rPr>
                <w:rFonts w:ascii="Calibri" w:hAnsi="Calibri" w:cs="Calibri"/>
                <w:sz w:val="28"/>
                <w:szCs w:val="20"/>
              </w:rPr>
            </w:pPr>
            <w:r w:rsidRPr="00A3168F">
              <w:rPr>
                <w:rFonts w:ascii="Calibri" w:hAnsi="Calibri" w:cs="Calibri"/>
                <w:sz w:val="28"/>
                <w:szCs w:val="20"/>
              </w:rPr>
              <w:t>Health outcome comparison of urban and poor neighborhoods to national benchmark states by socioeconomic group</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14472" w:rsidRPr="00FF1D42" w:rsidRDefault="00714472" w:rsidP="00714472">
            <w:pPr>
              <w:rPr>
                <w:rFonts w:ascii="Calibri" w:hAnsi="Calibri" w:cs="Calibri"/>
                <w:b/>
                <w:sz w:val="20"/>
                <w:szCs w:val="20"/>
              </w:rPr>
            </w:pPr>
          </w:p>
        </w:tc>
      </w:tr>
      <w:tr w:rsidR="00714472" w:rsidRPr="00A3168F" w:rsidTr="00576BEF">
        <w:trPr>
          <w:trHeight w:val="3500"/>
        </w:trPr>
        <w:tc>
          <w:tcPr>
            <w:tcW w:w="5418"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color w:val="231F20"/>
                <w:sz w:val="28"/>
                <w:szCs w:val="20"/>
              </w:rPr>
            </w:pPr>
            <w:r w:rsidRPr="00A3168F">
              <w:rPr>
                <w:rFonts w:ascii="Calibri" w:hAnsi="Calibri" w:cs="Calibri"/>
                <w:color w:val="231F20"/>
                <w:sz w:val="28"/>
                <w:szCs w:val="20"/>
              </w:rPr>
              <w:t xml:space="preserve">National Air Quality and Safe Drinking Water Act Standards are achieved throughout New Jersey and heavy metals pose no significant direct or indirect health threats for the general population or specific socioeconomic groups, as measured by effects on children or other sensitive populations.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sz w:val="28"/>
                <w:szCs w:val="20"/>
              </w:rPr>
            </w:pPr>
            <w:r w:rsidRPr="00A3168F">
              <w:rPr>
                <w:rFonts w:ascii="Calibri" w:hAnsi="Calibri"/>
                <w:sz w:val="28"/>
                <w:szCs w:val="20"/>
              </w:rPr>
              <w:t>•  Incidence rate of acute heavy metal poisoning in children under 6 by neighborhood category and socioeconomic category</w:t>
            </w:r>
          </w:p>
          <w:p w:rsidR="00714472" w:rsidRPr="00A3168F" w:rsidRDefault="00714472" w:rsidP="00714472">
            <w:pPr>
              <w:rPr>
                <w:rFonts w:ascii="Calibri" w:hAnsi="Calibri"/>
                <w:sz w:val="28"/>
                <w:szCs w:val="20"/>
              </w:rPr>
            </w:pPr>
            <w:r w:rsidRPr="00A3168F">
              <w:rPr>
                <w:rFonts w:ascii="Calibri" w:hAnsi="Calibri"/>
                <w:sz w:val="28"/>
                <w:szCs w:val="20"/>
              </w:rPr>
              <w:t>•  Blood levels of selected heavy metals in vulnerable population</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pStyle w:val="ListParagraph"/>
              <w:numPr>
                <w:ilvl w:val="0"/>
                <w:numId w:val="4"/>
              </w:numPr>
              <w:spacing w:after="120" w:line="240" w:lineRule="auto"/>
              <w:ind w:left="187" w:hanging="187"/>
              <w:contextualSpacing w:val="0"/>
              <w:rPr>
                <w:rFonts w:ascii="Calibri" w:hAnsi="Calibri" w:cs="Calibri"/>
                <w:sz w:val="28"/>
                <w:szCs w:val="20"/>
              </w:rPr>
            </w:pPr>
            <w:r w:rsidRPr="00A3168F">
              <w:rPr>
                <w:rFonts w:ascii="Calibri" w:hAnsi="Calibri" w:cs="Calibri"/>
                <w:sz w:val="28"/>
                <w:szCs w:val="20"/>
              </w:rPr>
              <w:t>Reduced incidence of heavy metal related health issues</w:t>
            </w:r>
          </w:p>
          <w:p w:rsidR="00714472" w:rsidRPr="00A3168F" w:rsidRDefault="00714472" w:rsidP="00714472">
            <w:pPr>
              <w:pStyle w:val="ListParagraph"/>
              <w:numPr>
                <w:ilvl w:val="0"/>
                <w:numId w:val="4"/>
              </w:numPr>
              <w:tabs>
                <w:tab w:val="left" w:pos="475"/>
              </w:tabs>
              <w:spacing w:after="120" w:line="240" w:lineRule="auto"/>
              <w:ind w:left="205" w:hanging="205"/>
              <w:contextualSpacing w:val="0"/>
              <w:rPr>
                <w:rFonts w:ascii="Calibri" w:hAnsi="Calibri" w:cs="Calibri"/>
                <w:sz w:val="28"/>
                <w:szCs w:val="20"/>
              </w:rPr>
            </w:pPr>
            <w:r w:rsidRPr="00A3168F">
              <w:rPr>
                <w:rFonts w:ascii="Calibri" w:hAnsi="Calibri" w:cs="Calibri"/>
                <w:sz w:val="28"/>
                <w:szCs w:val="20"/>
              </w:rPr>
              <w:t>Health outcome comparison of urban and poor neighborhoods to national benchmark states by socioeconomic group</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sz w:val="20"/>
                <w:szCs w:val="20"/>
              </w:rPr>
            </w:pPr>
            <w:bookmarkStart w:id="7" w:name="_GoBack"/>
            <w:bookmarkEnd w:id="7"/>
          </w:p>
        </w:tc>
      </w:tr>
      <w:tr w:rsidR="00714472" w:rsidRPr="00A3168F" w:rsidTr="00576BEF">
        <w:trPr>
          <w:trHeight w:val="2533"/>
        </w:trPr>
        <w:tc>
          <w:tcPr>
            <w:tcW w:w="5418"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color w:val="231F20"/>
                <w:sz w:val="28"/>
                <w:szCs w:val="20"/>
              </w:rPr>
            </w:pPr>
            <w:r w:rsidRPr="00A3168F">
              <w:rPr>
                <w:rFonts w:ascii="Calibri" w:hAnsi="Calibri" w:cs="Calibri"/>
                <w:color w:val="231F20"/>
                <w:sz w:val="28"/>
                <w:szCs w:val="20"/>
              </w:rPr>
              <w:t xml:space="preserve">Endocrine Disrupting Compounds (EDC) pose no significant direct or indirect health threats for the general population or sensitive populations such as children or pregnant women, as measured by incidence rates of EDC related diseases.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sz w:val="28"/>
                <w:szCs w:val="20"/>
              </w:rPr>
            </w:pPr>
            <w:r w:rsidRPr="00A3168F">
              <w:rPr>
                <w:rFonts w:ascii="Calibri" w:hAnsi="Calibri"/>
                <w:sz w:val="28"/>
                <w:szCs w:val="20"/>
              </w:rPr>
              <w:t xml:space="preserve">•  Incidence rate of endocrine related diseases and health issues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576BEF">
            <w:pPr>
              <w:pStyle w:val="ListParagraph"/>
              <w:numPr>
                <w:ilvl w:val="0"/>
                <w:numId w:val="4"/>
              </w:numPr>
              <w:spacing w:after="120" w:line="240" w:lineRule="auto"/>
              <w:ind w:left="187" w:hanging="187"/>
              <w:contextualSpacing w:val="0"/>
              <w:rPr>
                <w:rFonts w:ascii="Calibri" w:hAnsi="Calibri" w:cs="Calibri"/>
                <w:sz w:val="28"/>
                <w:szCs w:val="20"/>
              </w:rPr>
            </w:pPr>
            <w:r w:rsidRPr="00A3168F">
              <w:rPr>
                <w:rFonts w:ascii="Calibri" w:hAnsi="Calibri" w:cs="Calibri"/>
                <w:sz w:val="28"/>
                <w:szCs w:val="20"/>
              </w:rPr>
              <w:t>Reduced incidence of EDC related health issues</w:t>
            </w:r>
          </w:p>
          <w:p w:rsidR="00714472" w:rsidRPr="00A3168F" w:rsidRDefault="00714472" w:rsidP="00714472">
            <w:pPr>
              <w:pStyle w:val="ListParagraph"/>
              <w:numPr>
                <w:ilvl w:val="0"/>
                <w:numId w:val="4"/>
              </w:numPr>
              <w:spacing w:after="120" w:line="240" w:lineRule="auto"/>
              <w:ind w:left="205" w:hanging="180"/>
              <w:rPr>
                <w:rFonts w:ascii="Calibri" w:hAnsi="Calibri" w:cs="Calibri"/>
                <w:sz w:val="28"/>
                <w:szCs w:val="20"/>
              </w:rPr>
            </w:pPr>
            <w:r w:rsidRPr="00A3168F">
              <w:rPr>
                <w:rFonts w:ascii="Calibri" w:hAnsi="Calibri" w:cs="Calibri"/>
                <w:sz w:val="28"/>
                <w:szCs w:val="20"/>
              </w:rPr>
              <w:t>Health outcome comparison of urban and poor neighborhoods to national benchmark states by socioeconomic group</w:t>
            </w:r>
          </w:p>
          <w:p w:rsidR="00714472" w:rsidRPr="00A3168F" w:rsidRDefault="00714472" w:rsidP="00714472">
            <w:pPr>
              <w:rPr>
                <w:rFonts w:ascii="Calibri" w:hAnsi="Calibri" w:cs="Calibri"/>
                <w:sz w:val="28"/>
                <w:szCs w:val="20"/>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sz w:val="20"/>
                <w:szCs w:val="20"/>
              </w:rPr>
            </w:pPr>
          </w:p>
        </w:tc>
      </w:tr>
    </w:tbl>
    <w:p w:rsidR="003E0016" w:rsidRPr="00A3168F" w:rsidRDefault="003E0016" w:rsidP="003E0016">
      <w:pPr>
        <w:rPr>
          <w:b/>
          <w:sz w:val="36"/>
        </w:rPr>
      </w:pPr>
    </w:p>
    <w:sectPr w:rsidR="003E0016" w:rsidRPr="00A3168F" w:rsidSect="00597F6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16" w:rsidRDefault="003E0016" w:rsidP="00597F61">
      <w:pPr>
        <w:spacing w:after="0" w:line="240" w:lineRule="auto"/>
      </w:pPr>
      <w:r>
        <w:separator/>
      </w:r>
    </w:p>
  </w:endnote>
  <w:endnote w:type="continuationSeparator" w:id="0">
    <w:p w:rsidR="003E0016" w:rsidRDefault="003E0016" w:rsidP="0059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16" w:rsidRDefault="003E0016" w:rsidP="00597F61">
      <w:pPr>
        <w:spacing w:after="0" w:line="240" w:lineRule="auto"/>
      </w:pPr>
      <w:r>
        <w:separator/>
      </w:r>
    </w:p>
  </w:footnote>
  <w:footnote w:type="continuationSeparator" w:id="0">
    <w:p w:rsidR="003E0016" w:rsidRDefault="003E0016" w:rsidP="00597F61">
      <w:pPr>
        <w:spacing w:after="0" w:line="240" w:lineRule="auto"/>
      </w:pPr>
      <w:r>
        <w:continuationSeparator/>
      </w:r>
    </w:p>
  </w:footnote>
  <w:footnote w:id="1">
    <w:p w:rsidR="003E0016" w:rsidRDefault="003E0016" w:rsidP="00597F61">
      <w:pPr>
        <w:pStyle w:val="FootnoteText"/>
      </w:pPr>
      <w:r>
        <w:rPr>
          <w:rStyle w:val="FootnoteReference"/>
        </w:rPr>
        <w:footnoteRef/>
      </w:r>
      <w:r>
        <w:t xml:space="preserve"> Quality-adjusted life year (QALY) or health-adjusted life expectancy (HALE) are noted in IOM (2012c), Table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ECD"/>
    <w:multiLevelType w:val="hybridMultilevel"/>
    <w:tmpl w:val="5A9C6FAE"/>
    <w:lvl w:ilvl="0" w:tplc="38F69D8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nsid w:val="2BED56F4"/>
    <w:multiLevelType w:val="hybridMultilevel"/>
    <w:tmpl w:val="0DB650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813F1D"/>
    <w:multiLevelType w:val="hybridMultilevel"/>
    <w:tmpl w:val="6C00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A083D"/>
    <w:multiLevelType w:val="hybridMultilevel"/>
    <w:tmpl w:val="55BEB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61"/>
    <w:rsid w:val="00234A97"/>
    <w:rsid w:val="00300E90"/>
    <w:rsid w:val="003E0016"/>
    <w:rsid w:val="00463C99"/>
    <w:rsid w:val="00467983"/>
    <w:rsid w:val="004B790E"/>
    <w:rsid w:val="00545A0A"/>
    <w:rsid w:val="00576BEF"/>
    <w:rsid w:val="00597F61"/>
    <w:rsid w:val="00714472"/>
    <w:rsid w:val="00A3168F"/>
    <w:rsid w:val="00A842CE"/>
    <w:rsid w:val="00C31D1E"/>
    <w:rsid w:val="00E44E26"/>
    <w:rsid w:val="00FE3A96"/>
    <w:rsid w:val="00F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F61"/>
    <w:pPr>
      <w:spacing w:after="220" w:line="240" w:lineRule="auto"/>
    </w:pPr>
    <w:rPr>
      <w:rFonts w:ascii="Futura Std Book" w:eastAsia="Times New Roman" w:hAnsi="Futura Std Book" w:cs="Times New Roman"/>
      <w:sz w:val="20"/>
      <w:szCs w:val="20"/>
    </w:rPr>
  </w:style>
  <w:style w:type="character" w:customStyle="1" w:styleId="FootnoteTextChar">
    <w:name w:val="Footnote Text Char"/>
    <w:basedOn w:val="DefaultParagraphFont"/>
    <w:link w:val="FootnoteText"/>
    <w:uiPriority w:val="99"/>
    <w:rsid w:val="00597F61"/>
    <w:rPr>
      <w:rFonts w:ascii="Futura Std Book" w:eastAsia="Times New Roman" w:hAnsi="Futura Std Book" w:cs="Times New Roman"/>
      <w:sz w:val="20"/>
      <w:szCs w:val="20"/>
    </w:rPr>
  </w:style>
  <w:style w:type="character" w:styleId="FootnoteReference">
    <w:name w:val="footnote reference"/>
    <w:uiPriority w:val="99"/>
    <w:semiHidden/>
    <w:unhideWhenUsed/>
    <w:rsid w:val="00597F61"/>
    <w:rPr>
      <w:vertAlign w:val="superscript"/>
    </w:rPr>
  </w:style>
  <w:style w:type="paragraph" w:styleId="ListParagraph">
    <w:name w:val="List Paragraph"/>
    <w:basedOn w:val="Normal"/>
    <w:link w:val="ListParagraphChar"/>
    <w:qFormat/>
    <w:rsid w:val="00597F61"/>
    <w:pPr>
      <w:ind w:left="720"/>
      <w:contextualSpacing/>
    </w:pPr>
  </w:style>
  <w:style w:type="paragraph" w:styleId="Header">
    <w:name w:val="header"/>
    <w:basedOn w:val="Normal"/>
    <w:link w:val="HeaderChar"/>
    <w:uiPriority w:val="99"/>
    <w:unhideWhenUsed/>
    <w:rsid w:val="0023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97"/>
  </w:style>
  <w:style w:type="paragraph" w:styleId="Footer">
    <w:name w:val="footer"/>
    <w:basedOn w:val="Normal"/>
    <w:link w:val="FooterChar"/>
    <w:uiPriority w:val="99"/>
    <w:unhideWhenUsed/>
    <w:rsid w:val="0023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97"/>
  </w:style>
  <w:style w:type="character" w:customStyle="1" w:styleId="ListParagraphChar">
    <w:name w:val="List Paragraph Char"/>
    <w:basedOn w:val="DefaultParagraphFont"/>
    <w:link w:val="ListParagraph"/>
    <w:locked/>
    <w:rsid w:val="00A3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F61"/>
    <w:pPr>
      <w:spacing w:after="220" w:line="240" w:lineRule="auto"/>
    </w:pPr>
    <w:rPr>
      <w:rFonts w:ascii="Futura Std Book" w:eastAsia="Times New Roman" w:hAnsi="Futura Std Book" w:cs="Times New Roman"/>
      <w:sz w:val="20"/>
      <w:szCs w:val="20"/>
    </w:rPr>
  </w:style>
  <w:style w:type="character" w:customStyle="1" w:styleId="FootnoteTextChar">
    <w:name w:val="Footnote Text Char"/>
    <w:basedOn w:val="DefaultParagraphFont"/>
    <w:link w:val="FootnoteText"/>
    <w:uiPriority w:val="99"/>
    <w:rsid w:val="00597F61"/>
    <w:rPr>
      <w:rFonts w:ascii="Futura Std Book" w:eastAsia="Times New Roman" w:hAnsi="Futura Std Book" w:cs="Times New Roman"/>
      <w:sz w:val="20"/>
      <w:szCs w:val="20"/>
    </w:rPr>
  </w:style>
  <w:style w:type="character" w:styleId="FootnoteReference">
    <w:name w:val="footnote reference"/>
    <w:uiPriority w:val="99"/>
    <w:semiHidden/>
    <w:unhideWhenUsed/>
    <w:rsid w:val="00597F61"/>
    <w:rPr>
      <w:vertAlign w:val="superscript"/>
    </w:rPr>
  </w:style>
  <w:style w:type="paragraph" w:styleId="ListParagraph">
    <w:name w:val="List Paragraph"/>
    <w:basedOn w:val="Normal"/>
    <w:link w:val="ListParagraphChar"/>
    <w:qFormat/>
    <w:rsid w:val="00597F61"/>
    <w:pPr>
      <w:ind w:left="720"/>
      <w:contextualSpacing/>
    </w:pPr>
  </w:style>
  <w:style w:type="paragraph" w:styleId="Header">
    <w:name w:val="header"/>
    <w:basedOn w:val="Normal"/>
    <w:link w:val="HeaderChar"/>
    <w:uiPriority w:val="99"/>
    <w:unhideWhenUsed/>
    <w:rsid w:val="0023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97"/>
  </w:style>
  <w:style w:type="paragraph" w:styleId="Footer">
    <w:name w:val="footer"/>
    <w:basedOn w:val="Normal"/>
    <w:link w:val="FooterChar"/>
    <w:uiPriority w:val="99"/>
    <w:unhideWhenUsed/>
    <w:rsid w:val="0023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97"/>
  </w:style>
  <w:style w:type="character" w:customStyle="1" w:styleId="ListParagraphChar">
    <w:name w:val="List Paragraph Char"/>
    <w:basedOn w:val="DefaultParagraphFont"/>
    <w:link w:val="ListParagraph"/>
    <w:locked/>
    <w:rsid w:val="00A3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8B8D-A5C0-4F07-AD16-8D4F9CB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2013-09-17T14:45:00Z</cp:lastPrinted>
  <dcterms:created xsi:type="dcterms:W3CDTF">2013-09-17T20:59:00Z</dcterms:created>
  <dcterms:modified xsi:type="dcterms:W3CDTF">2013-09-17T20:59:00Z</dcterms:modified>
</cp:coreProperties>
</file>