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72" w:rsidRPr="00A937BC" w:rsidRDefault="00A937BC" w:rsidP="00A937BC">
      <w:pPr>
        <w:rPr>
          <w:b/>
          <w:sz w:val="40"/>
        </w:rPr>
      </w:pPr>
      <w:r>
        <w:rPr>
          <w:b/>
          <w:sz w:val="28"/>
          <w:szCs w:val="28"/>
        </w:rPr>
        <w:t xml:space="preserve">Sustainability </w:t>
      </w:r>
      <w:bookmarkStart w:id="0" w:name="_GoBack"/>
      <w:bookmarkEnd w:id="0"/>
      <w:r w:rsidR="00714472">
        <w:rPr>
          <w:b/>
          <w:sz w:val="28"/>
          <w:szCs w:val="28"/>
        </w:rPr>
        <w:t>Summit</w:t>
      </w:r>
    </w:p>
    <w:p w:rsidR="003E0016" w:rsidRPr="00714472" w:rsidRDefault="00714472" w:rsidP="00714472">
      <w:pPr>
        <w:tabs>
          <w:tab w:val="right" w:pos="21600"/>
        </w:tabs>
        <w:rPr>
          <w:b/>
          <w:sz w:val="28"/>
          <w:szCs w:val="28"/>
        </w:rPr>
      </w:pPr>
      <w:r w:rsidRPr="0066177D">
        <w:rPr>
          <w:b/>
          <w:sz w:val="28"/>
          <w:szCs w:val="28"/>
        </w:rPr>
        <w:t xml:space="preserve">Preliminary </w:t>
      </w:r>
      <w:r>
        <w:rPr>
          <w:b/>
          <w:sz w:val="28"/>
          <w:szCs w:val="28"/>
        </w:rPr>
        <w:t xml:space="preserve">Indoor Health </w:t>
      </w:r>
      <w:r w:rsidRPr="0066177D">
        <w:rPr>
          <w:b/>
          <w:sz w:val="28"/>
          <w:szCs w:val="28"/>
        </w:rPr>
        <w:t>Sustainability Indicators and Targets</w:t>
      </w:r>
      <w:r>
        <w:rPr>
          <w:b/>
          <w:sz w:val="28"/>
          <w:szCs w:val="28"/>
        </w:rPr>
        <w:t>:  Participant Feedback Sheet</w:t>
      </w:r>
    </w:p>
    <w:tbl>
      <w:tblPr>
        <w:tblpPr w:leftFromText="180" w:rightFromText="180" w:vertAnchor="page" w:horzAnchor="margin" w:tblpY="2737"/>
        <w:tblW w:w="2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590"/>
        <w:gridCol w:w="4590"/>
        <w:gridCol w:w="7200"/>
      </w:tblGrid>
      <w:tr w:rsidR="00714472" w:rsidRPr="00FF1D42" w:rsidTr="00576BEF">
        <w:trPr>
          <w:trHeight w:val="980"/>
        </w:trPr>
        <w:tc>
          <w:tcPr>
            <w:tcW w:w="5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cs="Calibri"/>
                <w:b/>
                <w:sz w:val="32"/>
                <w:szCs w:val="20"/>
              </w:rPr>
              <w:t>Sustainability Definition</w:t>
            </w:r>
          </w:p>
        </w:tc>
        <w:tc>
          <w:tcPr>
            <w:tcW w:w="4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Sustainability Indicators</w:t>
            </w:r>
          </w:p>
        </w:tc>
        <w:tc>
          <w:tcPr>
            <w:tcW w:w="4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b/>
                <w:sz w:val="32"/>
                <w:szCs w:val="20"/>
              </w:rPr>
              <w:t xml:space="preserve">Preliminary </w:t>
            </w:r>
            <w:r w:rsidRPr="007307DF">
              <w:rPr>
                <w:rFonts w:ascii="Calibri" w:hAnsi="Calibri" w:cs="Calibri"/>
                <w:b/>
                <w:sz w:val="32"/>
                <w:szCs w:val="20"/>
              </w:rPr>
              <w:t>Targets</w:t>
            </w:r>
          </w:p>
        </w:tc>
        <w:tc>
          <w:tcPr>
            <w:tcW w:w="7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14472" w:rsidRPr="007307DF" w:rsidRDefault="00714472" w:rsidP="00714472">
            <w:pPr>
              <w:jc w:val="center"/>
              <w:rPr>
                <w:rFonts w:ascii="Calibri" w:hAnsi="Calibri" w:cs="Calibri"/>
                <w:b/>
                <w:sz w:val="32"/>
                <w:szCs w:val="20"/>
              </w:rPr>
            </w:pPr>
            <w:r w:rsidRPr="007307DF">
              <w:rPr>
                <w:rFonts w:ascii="Calibri" w:hAnsi="Calibri" w:cs="Calibri"/>
                <w:b/>
                <w:sz w:val="32"/>
                <w:szCs w:val="20"/>
              </w:rPr>
              <w:t>Comments</w:t>
            </w:r>
          </w:p>
        </w:tc>
      </w:tr>
      <w:tr w:rsidR="00714472" w:rsidRPr="00FF1D42" w:rsidTr="00576BEF">
        <w:trPr>
          <w:trHeight w:val="3590"/>
        </w:trPr>
        <w:tc>
          <w:tcPr>
            <w:tcW w:w="5418"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color w:val="231F20"/>
                <w:sz w:val="28"/>
                <w:szCs w:val="20"/>
              </w:rPr>
            </w:pPr>
            <w:r w:rsidRPr="00A3168F">
              <w:rPr>
                <w:rFonts w:ascii="Calibri" w:hAnsi="Calibri" w:cs="Calibri"/>
                <w:color w:val="231F20"/>
                <w:sz w:val="28"/>
                <w:szCs w:val="20"/>
              </w:rPr>
              <w:t>Indoor Air Quality poses no significant direct or indirect health threats for the general population or specific socioeconomic groups, as measured by effects on residents, workers, and especially sensitive populations such as children, the elderly and immune-compromised populations.</w:t>
            </w:r>
            <w:r>
              <w:rPr>
                <w:rFonts w:ascii="Calibri" w:hAnsi="Calibri" w:cs="Calibri"/>
                <w:color w:val="231F20"/>
                <w:sz w:val="28"/>
                <w:szCs w:val="20"/>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sz w:val="28"/>
                <w:szCs w:val="20"/>
              </w:rPr>
            </w:pPr>
            <w:bookmarkStart w:id="1" w:name="_Toc355330084"/>
            <w:r w:rsidRPr="00A3168F">
              <w:rPr>
                <w:rFonts w:ascii="Calibri" w:hAnsi="Calibri"/>
                <w:sz w:val="28"/>
                <w:szCs w:val="20"/>
              </w:rPr>
              <w:t>•  Asthma rates in children by neighborhood category and socioeconomic group</w:t>
            </w:r>
            <w:bookmarkEnd w:id="1"/>
          </w:p>
          <w:p w:rsidR="00714472" w:rsidRPr="00A3168F" w:rsidRDefault="00714472" w:rsidP="00714472">
            <w:pPr>
              <w:rPr>
                <w:rFonts w:ascii="Calibri" w:hAnsi="Calibri"/>
                <w:sz w:val="28"/>
                <w:szCs w:val="20"/>
              </w:rPr>
            </w:pPr>
            <w:bookmarkStart w:id="2" w:name="_Toc355330085"/>
            <w:r w:rsidRPr="00A3168F">
              <w:rPr>
                <w:rFonts w:ascii="Calibri" w:hAnsi="Calibri"/>
                <w:sz w:val="28"/>
                <w:szCs w:val="20"/>
              </w:rPr>
              <w:t>•  Asthma rates in sensitive adult populations by neighborhood category and socioeconomic group</w:t>
            </w:r>
            <w:bookmarkEnd w:id="2"/>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pStyle w:val="ListParagraph"/>
              <w:numPr>
                <w:ilvl w:val="0"/>
                <w:numId w:val="4"/>
              </w:numPr>
              <w:spacing w:after="120" w:line="240" w:lineRule="auto"/>
              <w:ind w:left="187" w:hanging="187"/>
              <w:contextualSpacing w:val="0"/>
              <w:rPr>
                <w:rFonts w:ascii="Calibri" w:hAnsi="Calibri" w:cs="Calibri"/>
                <w:sz w:val="28"/>
                <w:szCs w:val="20"/>
              </w:rPr>
            </w:pPr>
            <w:r w:rsidRPr="00A3168F">
              <w:rPr>
                <w:rFonts w:ascii="Calibri" w:hAnsi="Calibri" w:cs="Calibri"/>
                <w:sz w:val="28"/>
                <w:szCs w:val="20"/>
              </w:rPr>
              <w:t>Reduced incidence of air quality related health issues</w:t>
            </w:r>
          </w:p>
          <w:p w:rsidR="00714472" w:rsidRPr="00A3168F" w:rsidRDefault="00714472" w:rsidP="00714472">
            <w:pPr>
              <w:pStyle w:val="ListParagraph"/>
              <w:numPr>
                <w:ilvl w:val="0"/>
                <w:numId w:val="4"/>
              </w:numPr>
              <w:spacing w:after="0" w:line="240" w:lineRule="auto"/>
              <w:ind w:left="216" w:hanging="187"/>
              <w:rPr>
                <w:rFonts w:ascii="Calibri" w:hAnsi="Calibri" w:cs="Calibri"/>
                <w:sz w:val="28"/>
                <w:szCs w:val="20"/>
              </w:rPr>
            </w:pPr>
            <w:r w:rsidRPr="00A3168F">
              <w:rPr>
                <w:rFonts w:ascii="Calibri" w:hAnsi="Calibri" w:cs="Calibri"/>
                <w:sz w:val="28"/>
                <w:szCs w:val="20"/>
              </w:rPr>
              <w:t>Health outcome comparison of urban and poor neighborhoods to national benchmark states by socioeconomic group</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14472" w:rsidRPr="00FF1D42" w:rsidRDefault="00714472" w:rsidP="00714472">
            <w:pPr>
              <w:rPr>
                <w:rFonts w:ascii="Calibri" w:hAnsi="Calibri" w:cs="Calibri"/>
                <w:b/>
                <w:sz w:val="20"/>
                <w:szCs w:val="20"/>
              </w:rPr>
            </w:pPr>
          </w:p>
        </w:tc>
      </w:tr>
      <w:tr w:rsidR="00714472" w:rsidRPr="00A3168F" w:rsidTr="00576BEF">
        <w:trPr>
          <w:trHeight w:val="3500"/>
        </w:trPr>
        <w:tc>
          <w:tcPr>
            <w:tcW w:w="5418"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color w:val="231F20"/>
                <w:sz w:val="28"/>
                <w:szCs w:val="20"/>
              </w:rPr>
            </w:pPr>
            <w:r w:rsidRPr="00A3168F">
              <w:rPr>
                <w:rFonts w:ascii="Calibri" w:hAnsi="Calibri" w:cs="Calibri"/>
                <w:color w:val="231F20"/>
                <w:sz w:val="28"/>
                <w:szCs w:val="20"/>
              </w:rPr>
              <w:t xml:space="preserve">National Air Quality and Safe Drinking Water Act Standards are achieved throughout New Jersey and heavy metals pose no significant direct or indirect health threats for the general population or specific socioeconomic groups, as measured by effects on children or other sensitive populations.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sz w:val="28"/>
                <w:szCs w:val="20"/>
              </w:rPr>
            </w:pPr>
            <w:r w:rsidRPr="00A3168F">
              <w:rPr>
                <w:rFonts w:ascii="Calibri" w:hAnsi="Calibri"/>
                <w:sz w:val="28"/>
                <w:szCs w:val="20"/>
              </w:rPr>
              <w:t>•  Incidence rate of acute heavy metal poisoning in children under 6 by neighborhood category and socioeconomic category</w:t>
            </w:r>
          </w:p>
          <w:p w:rsidR="00714472" w:rsidRPr="00A3168F" w:rsidRDefault="00714472" w:rsidP="00714472">
            <w:pPr>
              <w:rPr>
                <w:rFonts w:ascii="Calibri" w:hAnsi="Calibri"/>
                <w:sz w:val="28"/>
                <w:szCs w:val="20"/>
              </w:rPr>
            </w:pPr>
            <w:r w:rsidRPr="00A3168F">
              <w:rPr>
                <w:rFonts w:ascii="Calibri" w:hAnsi="Calibri"/>
                <w:sz w:val="28"/>
                <w:szCs w:val="20"/>
              </w:rPr>
              <w:t>•  Blood levels of selected heavy metals in vulnerable population</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pStyle w:val="ListParagraph"/>
              <w:numPr>
                <w:ilvl w:val="0"/>
                <w:numId w:val="4"/>
              </w:numPr>
              <w:spacing w:after="120" w:line="240" w:lineRule="auto"/>
              <w:ind w:left="187" w:hanging="187"/>
              <w:contextualSpacing w:val="0"/>
              <w:rPr>
                <w:rFonts w:ascii="Calibri" w:hAnsi="Calibri" w:cs="Calibri"/>
                <w:sz w:val="28"/>
                <w:szCs w:val="20"/>
              </w:rPr>
            </w:pPr>
            <w:r w:rsidRPr="00A3168F">
              <w:rPr>
                <w:rFonts w:ascii="Calibri" w:hAnsi="Calibri" w:cs="Calibri"/>
                <w:sz w:val="28"/>
                <w:szCs w:val="20"/>
              </w:rPr>
              <w:t>Reduced incidence of heavy metal related health issues</w:t>
            </w:r>
          </w:p>
          <w:p w:rsidR="00714472" w:rsidRPr="00A3168F" w:rsidRDefault="00714472" w:rsidP="00714472">
            <w:pPr>
              <w:pStyle w:val="ListParagraph"/>
              <w:numPr>
                <w:ilvl w:val="0"/>
                <w:numId w:val="4"/>
              </w:numPr>
              <w:tabs>
                <w:tab w:val="left" w:pos="475"/>
              </w:tabs>
              <w:spacing w:after="120" w:line="240" w:lineRule="auto"/>
              <w:ind w:left="205" w:hanging="205"/>
              <w:contextualSpacing w:val="0"/>
              <w:rPr>
                <w:rFonts w:ascii="Calibri" w:hAnsi="Calibri" w:cs="Calibri"/>
                <w:sz w:val="28"/>
                <w:szCs w:val="20"/>
              </w:rPr>
            </w:pPr>
            <w:r w:rsidRPr="00A3168F">
              <w:rPr>
                <w:rFonts w:ascii="Calibri" w:hAnsi="Calibri" w:cs="Calibri"/>
                <w:sz w:val="28"/>
                <w:szCs w:val="20"/>
              </w:rPr>
              <w:t>Health outcome comparison of urban and poor neighborhoods to national benchmark states by socioeconomic group</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sz w:val="20"/>
                <w:szCs w:val="20"/>
              </w:rPr>
            </w:pPr>
          </w:p>
        </w:tc>
      </w:tr>
      <w:tr w:rsidR="00714472" w:rsidRPr="00A3168F" w:rsidTr="00576BEF">
        <w:trPr>
          <w:trHeight w:val="2533"/>
        </w:trPr>
        <w:tc>
          <w:tcPr>
            <w:tcW w:w="5418"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color w:val="231F20"/>
                <w:sz w:val="28"/>
                <w:szCs w:val="20"/>
              </w:rPr>
            </w:pPr>
            <w:r w:rsidRPr="00A3168F">
              <w:rPr>
                <w:rFonts w:ascii="Calibri" w:hAnsi="Calibri" w:cs="Calibri"/>
                <w:color w:val="231F20"/>
                <w:sz w:val="28"/>
                <w:szCs w:val="20"/>
              </w:rPr>
              <w:t xml:space="preserve">Endocrine Disrupting Compounds (EDC) pose no significant direct or indirect health threats for the general population or sensitive populations such as children or pregnant women, as measured by incidence rates of EDC related diseases.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sz w:val="28"/>
                <w:szCs w:val="20"/>
              </w:rPr>
            </w:pPr>
            <w:r w:rsidRPr="00A3168F">
              <w:rPr>
                <w:rFonts w:ascii="Calibri" w:hAnsi="Calibri"/>
                <w:sz w:val="28"/>
                <w:szCs w:val="20"/>
              </w:rPr>
              <w:t xml:space="preserve">•  Incidence rate of endocrine related diseases and health issues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576BEF">
            <w:pPr>
              <w:pStyle w:val="ListParagraph"/>
              <w:numPr>
                <w:ilvl w:val="0"/>
                <w:numId w:val="4"/>
              </w:numPr>
              <w:spacing w:after="120" w:line="240" w:lineRule="auto"/>
              <w:ind w:left="187" w:hanging="187"/>
              <w:contextualSpacing w:val="0"/>
              <w:rPr>
                <w:rFonts w:ascii="Calibri" w:hAnsi="Calibri" w:cs="Calibri"/>
                <w:sz w:val="28"/>
                <w:szCs w:val="20"/>
              </w:rPr>
            </w:pPr>
            <w:r w:rsidRPr="00A3168F">
              <w:rPr>
                <w:rFonts w:ascii="Calibri" w:hAnsi="Calibri" w:cs="Calibri"/>
                <w:sz w:val="28"/>
                <w:szCs w:val="20"/>
              </w:rPr>
              <w:t>Reduced incidence of EDC related health issues</w:t>
            </w:r>
          </w:p>
          <w:p w:rsidR="00714472" w:rsidRPr="00A3168F" w:rsidRDefault="00714472" w:rsidP="00714472">
            <w:pPr>
              <w:pStyle w:val="ListParagraph"/>
              <w:numPr>
                <w:ilvl w:val="0"/>
                <w:numId w:val="4"/>
              </w:numPr>
              <w:spacing w:after="120" w:line="240" w:lineRule="auto"/>
              <w:ind w:left="205" w:hanging="180"/>
              <w:rPr>
                <w:rFonts w:ascii="Calibri" w:hAnsi="Calibri" w:cs="Calibri"/>
                <w:sz w:val="28"/>
                <w:szCs w:val="20"/>
              </w:rPr>
            </w:pPr>
            <w:r w:rsidRPr="00A3168F">
              <w:rPr>
                <w:rFonts w:ascii="Calibri" w:hAnsi="Calibri" w:cs="Calibri"/>
                <w:sz w:val="28"/>
                <w:szCs w:val="20"/>
              </w:rPr>
              <w:t>Health outcome comparison of urban and poor neighborhoods to national benchmark states by socioeconomic group</w:t>
            </w:r>
          </w:p>
          <w:p w:rsidR="00714472" w:rsidRPr="00A3168F" w:rsidRDefault="00714472" w:rsidP="00714472">
            <w:pPr>
              <w:rPr>
                <w:rFonts w:ascii="Calibri" w:hAnsi="Calibri" w:cs="Calibri"/>
                <w:sz w:val="28"/>
                <w:szCs w:val="20"/>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714472" w:rsidRPr="00A3168F" w:rsidRDefault="00714472" w:rsidP="00714472">
            <w:pPr>
              <w:rPr>
                <w:rFonts w:ascii="Calibri" w:hAnsi="Calibri" w:cs="Calibri"/>
                <w:sz w:val="20"/>
                <w:szCs w:val="20"/>
              </w:rPr>
            </w:pPr>
          </w:p>
        </w:tc>
      </w:tr>
    </w:tbl>
    <w:p w:rsidR="003E0016" w:rsidRPr="00A3168F" w:rsidRDefault="003E0016" w:rsidP="003E0016">
      <w:pPr>
        <w:rPr>
          <w:b/>
          <w:sz w:val="36"/>
        </w:rPr>
      </w:pPr>
    </w:p>
    <w:sectPr w:rsidR="003E0016" w:rsidRPr="00A3168F" w:rsidSect="00597F61">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16" w:rsidRDefault="003E0016" w:rsidP="00597F61">
      <w:pPr>
        <w:spacing w:after="0" w:line="240" w:lineRule="auto"/>
      </w:pPr>
      <w:r>
        <w:separator/>
      </w:r>
    </w:p>
  </w:endnote>
  <w:endnote w:type="continuationSeparator" w:id="0">
    <w:p w:rsidR="003E0016" w:rsidRDefault="003E0016" w:rsidP="0059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16" w:rsidRDefault="003E0016" w:rsidP="00597F61">
      <w:pPr>
        <w:spacing w:after="0" w:line="240" w:lineRule="auto"/>
      </w:pPr>
      <w:r>
        <w:separator/>
      </w:r>
    </w:p>
  </w:footnote>
  <w:footnote w:type="continuationSeparator" w:id="0">
    <w:p w:rsidR="003E0016" w:rsidRDefault="003E0016" w:rsidP="0059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ECD"/>
    <w:multiLevelType w:val="hybridMultilevel"/>
    <w:tmpl w:val="5A9C6FAE"/>
    <w:lvl w:ilvl="0" w:tplc="38F69D8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nsid w:val="2BED56F4"/>
    <w:multiLevelType w:val="hybridMultilevel"/>
    <w:tmpl w:val="0DB650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813F1D"/>
    <w:multiLevelType w:val="hybridMultilevel"/>
    <w:tmpl w:val="6C00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A083D"/>
    <w:multiLevelType w:val="hybridMultilevel"/>
    <w:tmpl w:val="55BEB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61"/>
    <w:rsid w:val="00234A97"/>
    <w:rsid w:val="00300E90"/>
    <w:rsid w:val="003E0016"/>
    <w:rsid w:val="00463C99"/>
    <w:rsid w:val="00467983"/>
    <w:rsid w:val="004B790E"/>
    <w:rsid w:val="00545A0A"/>
    <w:rsid w:val="00576BEF"/>
    <w:rsid w:val="00597F61"/>
    <w:rsid w:val="00714472"/>
    <w:rsid w:val="00A3168F"/>
    <w:rsid w:val="00A842CE"/>
    <w:rsid w:val="00A937BC"/>
    <w:rsid w:val="00C31D1E"/>
    <w:rsid w:val="00E44E26"/>
    <w:rsid w:val="00FE3A96"/>
    <w:rsid w:val="00F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F61"/>
    <w:pPr>
      <w:spacing w:after="220" w:line="240" w:lineRule="auto"/>
    </w:pPr>
    <w:rPr>
      <w:rFonts w:ascii="Futura Std Book" w:eastAsia="Times New Roman" w:hAnsi="Futura Std Book" w:cs="Times New Roman"/>
      <w:sz w:val="20"/>
      <w:szCs w:val="20"/>
    </w:rPr>
  </w:style>
  <w:style w:type="character" w:customStyle="1" w:styleId="FootnoteTextChar">
    <w:name w:val="Footnote Text Char"/>
    <w:basedOn w:val="DefaultParagraphFont"/>
    <w:link w:val="FootnoteText"/>
    <w:uiPriority w:val="99"/>
    <w:rsid w:val="00597F61"/>
    <w:rPr>
      <w:rFonts w:ascii="Futura Std Book" w:eastAsia="Times New Roman" w:hAnsi="Futura Std Book" w:cs="Times New Roman"/>
      <w:sz w:val="20"/>
      <w:szCs w:val="20"/>
    </w:rPr>
  </w:style>
  <w:style w:type="character" w:styleId="FootnoteReference">
    <w:name w:val="footnote reference"/>
    <w:uiPriority w:val="99"/>
    <w:semiHidden/>
    <w:unhideWhenUsed/>
    <w:rsid w:val="00597F61"/>
    <w:rPr>
      <w:vertAlign w:val="superscript"/>
    </w:rPr>
  </w:style>
  <w:style w:type="paragraph" w:styleId="ListParagraph">
    <w:name w:val="List Paragraph"/>
    <w:basedOn w:val="Normal"/>
    <w:link w:val="ListParagraphChar"/>
    <w:qFormat/>
    <w:rsid w:val="00597F61"/>
    <w:pPr>
      <w:ind w:left="720"/>
      <w:contextualSpacing/>
    </w:pPr>
  </w:style>
  <w:style w:type="paragraph" w:styleId="Header">
    <w:name w:val="header"/>
    <w:basedOn w:val="Normal"/>
    <w:link w:val="HeaderChar"/>
    <w:uiPriority w:val="99"/>
    <w:unhideWhenUsed/>
    <w:rsid w:val="0023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97"/>
  </w:style>
  <w:style w:type="paragraph" w:styleId="Footer">
    <w:name w:val="footer"/>
    <w:basedOn w:val="Normal"/>
    <w:link w:val="FooterChar"/>
    <w:uiPriority w:val="99"/>
    <w:unhideWhenUsed/>
    <w:rsid w:val="0023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97"/>
  </w:style>
  <w:style w:type="character" w:customStyle="1" w:styleId="ListParagraphChar">
    <w:name w:val="List Paragraph Char"/>
    <w:basedOn w:val="DefaultParagraphFont"/>
    <w:link w:val="ListParagraph"/>
    <w:locked/>
    <w:rsid w:val="00A3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F61"/>
    <w:pPr>
      <w:spacing w:after="220" w:line="240" w:lineRule="auto"/>
    </w:pPr>
    <w:rPr>
      <w:rFonts w:ascii="Futura Std Book" w:eastAsia="Times New Roman" w:hAnsi="Futura Std Book" w:cs="Times New Roman"/>
      <w:sz w:val="20"/>
      <w:szCs w:val="20"/>
    </w:rPr>
  </w:style>
  <w:style w:type="character" w:customStyle="1" w:styleId="FootnoteTextChar">
    <w:name w:val="Footnote Text Char"/>
    <w:basedOn w:val="DefaultParagraphFont"/>
    <w:link w:val="FootnoteText"/>
    <w:uiPriority w:val="99"/>
    <w:rsid w:val="00597F61"/>
    <w:rPr>
      <w:rFonts w:ascii="Futura Std Book" w:eastAsia="Times New Roman" w:hAnsi="Futura Std Book" w:cs="Times New Roman"/>
      <w:sz w:val="20"/>
      <w:szCs w:val="20"/>
    </w:rPr>
  </w:style>
  <w:style w:type="character" w:styleId="FootnoteReference">
    <w:name w:val="footnote reference"/>
    <w:uiPriority w:val="99"/>
    <w:semiHidden/>
    <w:unhideWhenUsed/>
    <w:rsid w:val="00597F61"/>
    <w:rPr>
      <w:vertAlign w:val="superscript"/>
    </w:rPr>
  </w:style>
  <w:style w:type="paragraph" w:styleId="ListParagraph">
    <w:name w:val="List Paragraph"/>
    <w:basedOn w:val="Normal"/>
    <w:link w:val="ListParagraphChar"/>
    <w:qFormat/>
    <w:rsid w:val="00597F61"/>
    <w:pPr>
      <w:ind w:left="720"/>
      <w:contextualSpacing/>
    </w:pPr>
  </w:style>
  <w:style w:type="paragraph" w:styleId="Header">
    <w:name w:val="header"/>
    <w:basedOn w:val="Normal"/>
    <w:link w:val="HeaderChar"/>
    <w:uiPriority w:val="99"/>
    <w:unhideWhenUsed/>
    <w:rsid w:val="00234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97"/>
  </w:style>
  <w:style w:type="paragraph" w:styleId="Footer">
    <w:name w:val="footer"/>
    <w:basedOn w:val="Normal"/>
    <w:link w:val="FooterChar"/>
    <w:uiPriority w:val="99"/>
    <w:unhideWhenUsed/>
    <w:rsid w:val="00234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97"/>
  </w:style>
  <w:style w:type="character" w:customStyle="1" w:styleId="ListParagraphChar">
    <w:name w:val="List Paragraph Char"/>
    <w:basedOn w:val="DefaultParagraphFont"/>
    <w:link w:val="ListParagraph"/>
    <w:locked/>
    <w:rsid w:val="00A3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B68B-F623-43C0-9570-D59821CB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2013-09-17T14:45:00Z</cp:lastPrinted>
  <dcterms:created xsi:type="dcterms:W3CDTF">2013-09-23T17:33:00Z</dcterms:created>
  <dcterms:modified xsi:type="dcterms:W3CDTF">2013-09-23T17:33:00Z</dcterms:modified>
</cp:coreProperties>
</file>