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61" w:rsidRDefault="00367561" w:rsidP="00367561">
      <w:pPr>
        <w:spacing w:after="0"/>
        <w:rPr>
          <w:rFonts w:asciiTheme="minorHAnsi" w:hAnsiTheme="minorHAnsi"/>
          <w:b/>
          <w:sz w:val="28"/>
          <w:szCs w:val="28"/>
        </w:rPr>
      </w:pPr>
      <w:r>
        <w:rPr>
          <w:rFonts w:asciiTheme="minorHAnsi" w:hAnsiTheme="minorHAnsi"/>
          <w:b/>
          <w:sz w:val="28"/>
          <w:szCs w:val="28"/>
        </w:rPr>
        <w:t>Sustainability Summit</w:t>
      </w:r>
    </w:p>
    <w:p w:rsidR="00367561" w:rsidRPr="0066177D" w:rsidRDefault="00367561" w:rsidP="00367561">
      <w:pPr>
        <w:spacing w:after="0"/>
        <w:rPr>
          <w:rFonts w:asciiTheme="minorHAnsi" w:hAnsiTheme="minorHAnsi"/>
          <w:b/>
          <w:sz w:val="28"/>
          <w:szCs w:val="28"/>
        </w:rPr>
      </w:pPr>
      <w:r w:rsidRPr="0066177D">
        <w:rPr>
          <w:rFonts w:asciiTheme="minorHAnsi" w:hAnsiTheme="minorHAnsi"/>
          <w:b/>
          <w:sz w:val="28"/>
          <w:szCs w:val="28"/>
        </w:rPr>
        <w:t>Preliminary Energy Sustainability Indicators and Targets</w:t>
      </w:r>
      <w:r>
        <w:rPr>
          <w:rFonts w:asciiTheme="minorHAnsi" w:hAnsiTheme="minorHAnsi"/>
          <w:b/>
          <w:sz w:val="28"/>
          <w:szCs w:val="28"/>
        </w:rPr>
        <w:t>:  Participant Feedback Sheet</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Name:  ___________________________________</w:t>
      </w:r>
    </w:p>
    <w:p w:rsidR="00367561" w:rsidRPr="00BA1450" w:rsidRDefault="00367561" w:rsidP="00367561">
      <w:pPr>
        <w:spacing w:after="0"/>
        <w:rPr>
          <w:rFonts w:asciiTheme="minorHAnsi" w:hAnsiTheme="minorHAnsi"/>
          <w:b/>
        </w:rPr>
      </w:pPr>
    </w:p>
    <w:tbl>
      <w:tblPr>
        <w:tblStyle w:val="TableGrid"/>
        <w:tblW w:w="22536" w:type="dxa"/>
        <w:tblLook w:val="04A0" w:firstRow="1" w:lastRow="0" w:firstColumn="1" w:lastColumn="0" w:noHBand="0" w:noVBand="1"/>
      </w:tblPr>
      <w:tblGrid>
        <w:gridCol w:w="3438"/>
        <w:gridCol w:w="6570"/>
        <w:gridCol w:w="7920"/>
        <w:gridCol w:w="4608"/>
      </w:tblGrid>
      <w:tr w:rsidR="00367561" w:rsidRPr="00137B64" w:rsidTr="00F543A7">
        <w:trPr>
          <w:tblHeader/>
        </w:trPr>
        <w:tc>
          <w:tcPr>
            <w:tcW w:w="3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67561" w:rsidRPr="00913567" w:rsidRDefault="00367561" w:rsidP="00F543A7">
            <w:pPr>
              <w:spacing w:after="0"/>
              <w:contextualSpacing/>
              <w:jc w:val="center"/>
              <w:rPr>
                <w:rFonts w:asciiTheme="minorHAnsi" w:hAnsiTheme="minorHAnsi"/>
                <w:b/>
                <w:sz w:val="24"/>
              </w:rPr>
            </w:pPr>
            <w:r w:rsidRPr="00913567">
              <w:rPr>
                <w:rFonts w:asciiTheme="minorHAnsi" w:hAnsiTheme="minorHAnsi"/>
                <w:b/>
                <w:sz w:val="24"/>
              </w:rPr>
              <w:t>Definition</w:t>
            </w:r>
          </w:p>
        </w:tc>
        <w:tc>
          <w:tcPr>
            <w:tcW w:w="65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67561" w:rsidRPr="00913567" w:rsidRDefault="00367561" w:rsidP="00F543A7">
            <w:pPr>
              <w:spacing w:after="0"/>
              <w:contextualSpacing/>
              <w:jc w:val="center"/>
              <w:rPr>
                <w:rFonts w:asciiTheme="minorHAnsi" w:hAnsiTheme="minorHAnsi"/>
                <w:b/>
                <w:sz w:val="24"/>
              </w:rPr>
            </w:pPr>
            <w:r w:rsidRPr="00913567">
              <w:rPr>
                <w:rFonts w:asciiTheme="minorHAnsi" w:hAnsiTheme="minorHAnsi"/>
                <w:b/>
                <w:sz w:val="24"/>
              </w:rPr>
              <w:t>Preliminary Sustainability Indicators</w:t>
            </w:r>
          </w:p>
        </w:tc>
        <w:tc>
          <w:tcPr>
            <w:tcW w:w="7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67561" w:rsidRPr="00913567" w:rsidRDefault="00367561" w:rsidP="00F543A7">
            <w:pPr>
              <w:spacing w:after="0"/>
              <w:contextualSpacing/>
              <w:jc w:val="center"/>
              <w:rPr>
                <w:rFonts w:asciiTheme="minorHAnsi" w:hAnsiTheme="minorHAnsi"/>
                <w:b/>
                <w:sz w:val="24"/>
              </w:rPr>
            </w:pPr>
            <w:r w:rsidRPr="00913567">
              <w:rPr>
                <w:rFonts w:asciiTheme="minorHAnsi" w:hAnsiTheme="minorHAnsi"/>
                <w:b/>
                <w:sz w:val="24"/>
              </w:rPr>
              <w:t>Preliminary Targets</w:t>
            </w: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67561" w:rsidRPr="00913567" w:rsidRDefault="00367561" w:rsidP="00F543A7">
            <w:pPr>
              <w:spacing w:after="0"/>
              <w:contextualSpacing/>
              <w:jc w:val="center"/>
              <w:rPr>
                <w:rFonts w:asciiTheme="minorHAnsi" w:hAnsiTheme="minorHAnsi"/>
                <w:b/>
                <w:szCs w:val="22"/>
              </w:rPr>
            </w:pPr>
            <w:r w:rsidRPr="00913567">
              <w:rPr>
                <w:rFonts w:asciiTheme="minorHAnsi" w:hAnsiTheme="minorHAnsi"/>
                <w:b/>
                <w:szCs w:val="22"/>
              </w:rPr>
              <w:t>Does this define sustainability? What do you agree/disagree with?</w:t>
            </w:r>
          </w:p>
        </w:tc>
      </w:tr>
      <w:tr w:rsidR="00367561" w:rsidRPr="00137B64" w:rsidTr="00F543A7">
        <w:tc>
          <w:tcPr>
            <w:tcW w:w="3438" w:type="dxa"/>
            <w:tcBorders>
              <w:top w:val="single" w:sz="4" w:space="0" w:color="auto"/>
            </w:tcBorders>
          </w:tcPr>
          <w:p w:rsidR="00367561" w:rsidRPr="00137B64" w:rsidRDefault="00367561" w:rsidP="00F543A7">
            <w:pPr>
              <w:spacing w:after="0"/>
              <w:contextualSpacing/>
              <w:rPr>
                <w:rFonts w:asciiTheme="minorHAnsi" w:hAnsiTheme="minorHAnsi"/>
                <w:b/>
                <w:sz w:val="20"/>
                <w:szCs w:val="20"/>
              </w:rPr>
            </w:pPr>
            <w:r>
              <w:rPr>
                <w:rFonts w:asciiTheme="minorHAnsi" w:hAnsiTheme="minorHAnsi"/>
                <w:b/>
                <w:sz w:val="20"/>
                <w:szCs w:val="20"/>
              </w:rPr>
              <w:t xml:space="preserve">Primary: </w:t>
            </w:r>
            <w:r>
              <w:rPr>
                <w:rFonts w:asciiTheme="minorHAnsi" w:hAnsiTheme="minorHAnsi"/>
                <w:sz w:val="20"/>
                <w:szCs w:val="20"/>
              </w:rPr>
              <w:t xml:space="preserve">The supply portfolio eliminates dependence on finite fuel fossil fuel sources   </w:t>
            </w:r>
          </w:p>
        </w:tc>
        <w:tc>
          <w:tcPr>
            <w:tcW w:w="6570" w:type="dxa"/>
            <w:tcBorders>
              <w:top w:val="single" w:sz="4" w:space="0" w:color="auto"/>
            </w:tcBorders>
          </w:tcPr>
          <w:p w:rsidR="00367561" w:rsidRDefault="00367561" w:rsidP="00F543A7">
            <w:pPr>
              <w:spacing w:after="0"/>
              <w:contextualSpacing/>
              <w:rPr>
                <w:rFonts w:asciiTheme="minorHAnsi" w:hAnsiTheme="minorHAnsi"/>
                <w:sz w:val="20"/>
                <w:szCs w:val="20"/>
              </w:rPr>
            </w:pPr>
            <w:r w:rsidRPr="00137B64">
              <w:rPr>
                <w:rFonts w:asciiTheme="minorHAnsi" w:hAnsiTheme="minorHAnsi"/>
                <w:sz w:val="20"/>
                <w:szCs w:val="20"/>
              </w:rPr>
              <w:t>•</w:t>
            </w:r>
            <w:r>
              <w:rPr>
                <w:rFonts w:asciiTheme="minorHAnsi" w:hAnsiTheme="minorHAnsi"/>
                <w:sz w:val="20"/>
                <w:szCs w:val="20"/>
              </w:rPr>
              <w:t xml:space="preserve"> Percentage of energy content (BTUs or equivalent), measured at the point of primary source supply that is not fossil fuel based </w:t>
            </w:r>
          </w:p>
          <w:p w:rsidR="00367561" w:rsidRPr="00137B64" w:rsidRDefault="00367561" w:rsidP="00F543A7">
            <w:pPr>
              <w:spacing w:after="0"/>
              <w:contextualSpacing/>
              <w:rPr>
                <w:rFonts w:asciiTheme="minorHAnsi" w:hAnsiTheme="minorHAnsi"/>
                <w:sz w:val="20"/>
                <w:szCs w:val="20"/>
              </w:rPr>
            </w:pPr>
            <w:r>
              <w:rPr>
                <w:rFonts w:asciiTheme="minorHAnsi" w:hAnsiTheme="minorHAnsi"/>
                <w:sz w:val="20"/>
                <w:szCs w:val="20"/>
              </w:rPr>
              <w:t>.</w:t>
            </w:r>
          </w:p>
        </w:tc>
        <w:tc>
          <w:tcPr>
            <w:tcW w:w="7920" w:type="dxa"/>
            <w:tcBorders>
              <w:top w:val="single" w:sz="4" w:space="0" w:color="auto"/>
            </w:tcBorders>
          </w:tcPr>
          <w:p w:rsidR="00367561" w:rsidRDefault="00367561" w:rsidP="00F543A7">
            <w:pPr>
              <w:spacing w:after="0"/>
              <w:contextualSpacing/>
              <w:rPr>
                <w:rFonts w:asciiTheme="minorHAnsi" w:hAnsiTheme="minorHAnsi"/>
                <w:sz w:val="20"/>
                <w:szCs w:val="20"/>
              </w:rPr>
            </w:pPr>
            <w:r w:rsidRPr="00252EAC">
              <w:rPr>
                <w:rFonts w:asciiTheme="minorHAnsi" w:hAnsiTheme="minorHAnsi"/>
                <w:b/>
                <w:sz w:val="20"/>
                <w:szCs w:val="20"/>
              </w:rPr>
              <w:t xml:space="preserve">Current </w:t>
            </w:r>
            <w:r>
              <w:rPr>
                <w:rFonts w:asciiTheme="minorHAnsi" w:hAnsiTheme="minorHAnsi"/>
                <w:b/>
                <w:sz w:val="20"/>
                <w:szCs w:val="20"/>
              </w:rPr>
              <w:t>Status Targets</w:t>
            </w:r>
            <w:r>
              <w:rPr>
                <w:rFonts w:asciiTheme="minorHAnsi" w:hAnsiTheme="minorHAnsi"/>
                <w:sz w:val="20"/>
                <w:szCs w:val="20"/>
              </w:rPr>
              <w:t>:</w:t>
            </w:r>
          </w:p>
          <w:p w:rsidR="00367561" w:rsidRDefault="00367561" w:rsidP="00F543A7">
            <w:pPr>
              <w:spacing w:after="0"/>
              <w:contextualSpacing/>
              <w:rPr>
                <w:rFonts w:asciiTheme="minorHAnsi" w:hAnsiTheme="minorHAnsi"/>
                <w:sz w:val="20"/>
                <w:szCs w:val="20"/>
              </w:rPr>
            </w:pPr>
            <w:proofErr w:type="gramStart"/>
            <w:r w:rsidRPr="00137B64">
              <w:rPr>
                <w:rFonts w:asciiTheme="minorHAnsi" w:hAnsiTheme="minorHAnsi"/>
                <w:sz w:val="20"/>
                <w:szCs w:val="20"/>
              </w:rPr>
              <w:t>•</w:t>
            </w:r>
            <w:r>
              <w:rPr>
                <w:rFonts w:asciiTheme="minorHAnsi" w:hAnsiTheme="minorHAnsi"/>
                <w:sz w:val="20"/>
                <w:szCs w:val="20"/>
              </w:rPr>
              <w:t xml:space="preserve">  </w:t>
            </w:r>
            <w:r w:rsidRPr="00137B64">
              <w:rPr>
                <w:rFonts w:asciiTheme="minorHAnsi" w:hAnsiTheme="minorHAnsi"/>
                <w:sz w:val="20"/>
                <w:szCs w:val="20"/>
              </w:rPr>
              <w:t>Ratio</w:t>
            </w:r>
            <w:proofErr w:type="gramEnd"/>
            <w:r w:rsidRPr="00137B64">
              <w:rPr>
                <w:rFonts w:asciiTheme="minorHAnsi" w:hAnsiTheme="minorHAnsi"/>
                <w:sz w:val="20"/>
                <w:szCs w:val="20"/>
              </w:rPr>
              <w:t xml:space="preserve"> of </w:t>
            </w:r>
            <w:r>
              <w:rPr>
                <w:rFonts w:asciiTheme="minorHAnsi" w:hAnsiTheme="minorHAnsi"/>
                <w:sz w:val="20"/>
                <w:szCs w:val="20"/>
              </w:rPr>
              <w:t>non-fossil fuel supply consumed</w:t>
            </w:r>
            <w:r w:rsidRPr="00137B64">
              <w:rPr>
                <w:rFonts w:asciiTheme="minorHAnsi" w:hAnsiTheme="minorHAnsi"/>
                <w:sz w:val="20"/>
                <w:szCs w:val="20"/>
              </w:rPr>
              <w:t xml:space="preserve"> to total </w:t>
            </w:r>
            <w:r>
              <w:rPr>
                <w:rFonts w:asciiTheme="minorHAnsi" w:hAnsiTheme="minorHAnsi"/>
                <w:sz w:val="20"/>
                <w:szCs w:val="20"/>
              </w:rPr>
              <w:t>supply</w:t>
            </w:r>
            <w:r w:rsidRPr="00137B64">
              <w:rPr>
                <w:rFonts w:asciiTheme="minorHAnsi" w:hAnsiTheme="minorHAnsi"/>
                <w:sz w:val="20"/>
                <w:szCs w:val="20"/>
              </w:rPr>
              <w:t xml:space="preserve"> </w:t>
            </w:r>
            <w:r>
              <w:rPr>
                <w:rFonts w:asciiTheme="minorHAnsi" w:hAnsiTheme="minorHAnsi"/>
                <w:sz w:val="20"/>
                <w:szCs w:val="20"/>
              </w:rPr>
              <w:t xml:space="preserve">consumed, by </w:t>
            </w:r>
            <w:r w:rsidRPr="00137B64">
              <w:rPr>
                <w:rFonts w:asciiTheme="minorHAnsi" w:hAnsiTheme="minorHAnsi"/>
                <w:sz w:val="20"/>
                <w:szCs w:val="20"/>
              </w:rPr>
              <w:t>use (</w:t>
            </w:r>
            <w:r>
              <w:rPr>
                <w:rFonts w:asciiTheme="minorHAnsi" w:hAnsiTheme="minorHAnsi"/>
                <w:sz w:val="20"/>
                <w:szCs w:val="20"/>
              </w:rPr>
              <w:t>heating, electricity, transportation</w:t>
            </w:r>
            <w:r w:rsidRPr="00137B64">
              <w:rPr>
                <w:rFonts w:asciiTheme="minorHAnsi" w:hAnsiTheme="minorHAnsi"/>
                <w:sz w:val="20"/>
                <w:szCs w:val="20"/>
              </w:rPr>
              <w:t>)</w:t>
            </w:r>
            <w:r>
              <w:rPr>
                <w:rFonts w:asciiTheme="minorHAnsi" w:hAnsiTheme="minorHAnsi"/>
                <w:sz w:val="20"/>
                <w:szCs w:val="20"/>
              </w:rPr>
              <w:t>, including imported electricity.  For purposes of this target, bio-fuels may be counted as non-fossil-fuel, but may be discounted based on production method. The goal would be to a</w:t>
            </w:r>
            <w:r w:rsidRPr="00137B64">
              <w:rPr>
                <w:rFonts w:asciiTheme="minorHAnsi" w:hAnsiTheme="minorHAnsi"/>
                <w:sz w:val="20"/>
                <w:szCs w:val="20"/>
              </w:rPr>
              <w:t xml:space="preserve">chieve </w:t>
            </w:r>
            <w:r>
              <w:rPr>
                <w:rFonts w:asciiTheme="minorHAnsi" w:hAnsiTheme="minorHAnsi"/>
                <w:sz w:val="20"/>
                <w:szCs w:val="20"/>
              </w:rPr>
              <w:t>zero energy-related use of fossil fuels by 2050, in which case the “Sustainable Supply” fraction will be 100% (at the state-wide level).</w:t>
            </w:r>
          </w:p>
          <w:p w:rsidR="00367561" w:rsidRDefault="00367561" w:rsidP="00F543A7">
            <w:pPr>
              <w:spacing w:after="0"/>
              <w:contextualSpacing/>
              <w:rPr>
                <w:rFonts w:asciiTheme="minorHAnsi" w:hAnsiTheme="minorHAnsi"/>
                <w:sz w:val="20"/>
                <w:szCs w:val="20"/>
              </w:rPr>
            </w:pPr>
          </w:p>
          <w:p w:rsidR="00367561" w:rsidRPr="00621C91" w:rsidRDefault="00367561" w:rsidP="00F543A7">
            <w:pPr>
              <w:spacing w:after="0"/>
              <w:contextualSpacing/>
              <w:rPr>
                <w:rFonts w:asciiTheme="minorHAnsi" w:hAnsiTheme="minorHAnsi"/>
                <w:b/>
                <w:sz w:val="20"/>
                <w:szCs w:val="20"/>
              </w:rPr>
            </w:pPr>
            <w:r w:rsidRPr="00621C91">
              <w:rPr>
                <w:rFonts w:asciiTheme="minorHAnsi" w:hAnsiTheme="minorHAnsi"/>
                <w:b/>
                <w:sz w:val="20"/>
                <w:szCs w:val="20"/>
              </w:rPr>
              <w:t xml:space="preserve">Forward Looking </w:t>
            </w:r>
            <w:r>
              <w:rPr>
                <w:rFonts w:asciiTheme="minorHAnsi" w:hAnsiTheme="minorHAnsi"/>
                <w:b/>
                <w:sz w:val="20"/>
                <w:szCs w:val="20"/>
              </w:rPr>
              <w:t>Target</w:t>
            </w:r>
            <w:r w:rsidRPr="00621C91">
              <w:rPr>
                <w:rFonts w:asciiTheme="minorHAnsi" w:hAnsiTheme="minorHAnsi"/>
                <w:b/>
                <w:sz w:val="20"/>
                <w:szCs w:val="20"/>
              </w:rPr>
              <w:t>:</w:t>
            </w:r>
          </w:p>
          <w:p w:rsidR="00367561" w:rsidRDefault="00367561" w:rsidP="00F543A7">
            <w:pPr>
              <w:spacing w:after="0"/>
              <w:contextualSpacing/>
              <w:rPr>
                <w:rFonts w:asciiTheme="minorHAnsi" w:hAnsiTheme="minorHAnsi" w:cstheme="minorHAnsi"/>
                <w:sz w:val="20"/>
                <w:szCs w:val="20"/>
              </w:rPr>
            </w:pPr>
            <w:r w:rsidRPr="00137B64">
              <w:rPr>
                <w:rFonts w:asciiTheme="minorHAnsi" w:hAnsiTheme="minorHAnsi" w:cstheme="minorHAnsi"/>
                <w:sz w:val="20"/>
                <w:szCs w:val="20"/>
              </w:rPr>
              <w:t>•</w:t>
            </w:r>
            <w:r>
              <w:rPr>
                <w:rFonts w:asciiTheme="minorHAnsi" w:hAnsiTheme="minorHAnsi"/>
                <w:sz w:val="20"/>
                <w:szCs w:val="20"/>
              </w:rPr>
              <w:t xml:space="preserve">  Strength of NJ’s enabling legislation and policies relative to the 2050 goal and other states with leading programs</w:t>
            </w:r>
          </w:p>
          <w:p w:rsidR="00367561" w:rsidRDefault="00367561" w:rsidP="00F543A7">
            <w:pPr>
              <w:spacing w:after="0"/>
              <w:contextualSpacing/>
              <w:rPr>
                <w:rFonts w:asciiTheme="minorHAnsi" w:hAnsiTheme="minorHAnsi" w:cstheme="minorHAnsi"/>
                <w:sz w:val="20"/>
                <w:szCs w:val="20"/>
              </w:rPr>
            </w:pPr>
            <w:r w:rsidRPr="00137B64">
              <w:rPr>
                <w:rFonts w:asciiTheme="minorHAnsi" w:hAnsiTheme="minorHAnsi" w:cstheme="minorHAnsi"/>
                <w:sz w:val="20"/>
                <w:szCs w:val="20"/>
              </w:rPr>
              <w:t>•</w:t>
            </w:r>
            <w:r>
              <w:rPr>
                <w:rFonts w:asciiTheme="minorHAnsi" w:hAnsiTheme="minorHAnsi" w:cstheme="minorHAnsi"/>
                <w:sz w:val="20"/>
                <w:szCs w:val="20"/>
              </w:rPr>
              <w:t xml:space="preserve">  Accessible market opportunity for non-fossil-fuel sources considering resource sizing, and regulatory permissiveness of all types</w:t>
            </w:r>
          </w:p>
          <w:p w:rsidR="00367561" w:rsidRDefault="00367561" w:rsidP="00F543A7">
            <w:pPr>
              <w:spacing w:after="0"/>
              <w:contextualSpacing/>
              <w:rPr>
                <w:rFonts w:asciiTheme="minorHAnsi" w:hAnsiTheme="minorHAnsi"/>
                <w:sz w:val="20"/>
                <w:szCs w:val="20"/>
              </w:rPr>
            </w:pPr>
            <w:r w:rsidRPr="00137B64">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hAnsiTheme="minorHAnsi"/>
                <w:sz w:val="20"/>
                <w:szCs w:val="20"/>
              </w:rPr>
              <w:t xml:space="preserve"> Relative position of NJ in attracting private investment to non-fossil-fuel solutions</w:t>
            </w:r>
          </w:p>
          <w:p w:rsidR="00367561" w:rsidRPr="00252EAC" w:rsidRDefault="00367561" w:rsidP="00F543A7">
            <w:pPr>
              <w:spacing w:after="0"/>
              <w:contextualSpacing/>
              <w:rPr>
                <w:rFonts w:asciiTheme="minorHAnsi" w:hAnsiTheme="minorHAnsi"/>
                <w:sz w:val="20"/>
                <w:szCs w:val="20"/>
              </w:rPr>
            </w:pPr>
          </w:p>
        </w:tc>
        <w:tc>
          <w:tcPr>
            <w:tcW w:w="4608" w:type="dxa"/>
            <w:tcBorders>
              <w:top w:val="single" w:sz="4" w:space="0" w:color="auto"/>
            </w:tcBorders>
          </w:tcPr>
          <w:p w:rsidR="00367561" w:rsidRDefault="00367561" w:rsidP="00F543A7">
            <w:pPr>
              <w:spacing w:after="0"/>
              <w:contextualSpacing/>
              <w:rPr>
                <w:rFonts w:asciiTheme="minorHAnsi" w:hAnsiTheme="minorHAnsi"/>
                <w:b/>
                <w:sz w:val="20"/>
                <w:szCs w:val="20"/>
              </w:rPr>
            </w:pPr>
          </w:p>
        </w:tc>
      </w:tr>
      <w:tr w:rsidR="00367561" w:rsidRPr="00137B64" w:rsidTr="00F543A7">
        <w:tc>
          <w:tcPr>
            <w:tcW w:w="3438" w:type="dxa"/>
          </w:tcPr>
          <w:p w:rsidR="00367561" w:rsidRPr="00137B64" w:rsidRDefault="00367561" w:rsidP="00F543A7">
            <w:pPr>
              <w:spacing w:after="0"/>
              <w:contextualSpacing/>
              <w:rPr>
                <w:rFonts w:asciiTheme="minorHAnsi" w:hAnsiTheme="minorHAnsi"/>
                <w:b/>
                <w:sz w:val="20"/>
                <w:szCs w:val="20"/>
              </w:rPr>
            </w:pPr>
            <w:r w:rsidRPr="00D954B4">
              <w:rPr>
                <w:rFonts w:asciiTheme="minorHAnsi" w:hAnsiTheme="minorHAnsi"/>
                <w:b/>
                <w:sz w:val="20"/>
                <w:szCs w:val="20"/>
              </w:rPr>
              <w:t>Primary</w:t>
            </w:r>
            <w:r>
              <w:rPr>
                <w:rFonts w:asciiTheme="minorHAnsi" w:hAnsiTheme="minorHAnsi"/>
                <w:sz w:val="20"/>
                <w:szCs w:val="20"/>
              </w:rPr>
              <w:t xml:space="preserve">:  Energy related greenhouse gas emissions are declining and on track to meet goals set by the Climate Change Response Act.  </w:t>
            </w:r>
          </w:p>
          <w:p w:rsidR="00367561" w:rsidRPr="00137B64" w:rsidRDefault="00367561" w:rsidP="00F543A7">
            <w:pPr>
              <w:spacing w:after="0"/>
              <w:contextualSpacing/>
              <w:rPr>
                <w:rFonts w:asciiTheme="minorHAnsi" w:hAnsiTheme="minorHAnsi"/>
                <w:b/>
                <w:sz w:val="20"/>
                <w:szCs w:val="20"/>
              </w:rPr>
            </w:pPr>
          </w:p>
        </w:tc>
        <w:tc>
          <w:tcPr>
            <w:tcW w:w="6570" w:type="dxa"/>
          </w:tcPr>
          <w:p w:rsidR="00367561" w:rsidRDefault="00367561" w:rsidP="00F543A7">
            <w:pPr>
              <w:spacing w:after="0"/>
              <w:contextualSpacing/>
              <w:rPr>
                <w:rFonts w:asciiTheme="minorHAnsi" w:hAnsiTheme="minorHAnsi"/>
                <w:sz w:val="20"/>
                <w:szCs w:val="20"/>
              </w:rPr>
            </w:pPr>
            <w:r w:rsidRPr="00137B64">
              <w:rPr>
                <w:rFonts w:asciiTheme="minorHAnsi" w:hAnsiTheme="minorHAnsi"/>
                <w:sz w:val="20"/>
                <w:szCs w:val="20"/>
              </w:rPr>
              <w:t>•</w:t>
            </w:r>
            <w:r>
              <w:rPr>
                <w:rFonts w:asciiTheme="minorHAnsi" w:hAnsiTheme="minorHAnsi"/>
                <w:sz w:val="20"/>
                <w:szCs w:val="20"/>
              </w:rPr>
              <w:t xml:space="preserve"> Annual tons of CO2 (equivalent) emissions, estimated bottoms up based on supply mix</w:t>
            </w:r>
          </w:p>
          <w:p w:rsidR="00367561" w:rsidRPr="00A54AFA" w:rsidRDefault="00367561" w:rsidP="00F543A7">
            <w:pPr>
              <w:spacing w:after="0"/>
              <w:contextualSpacing/>
              <w:rPr>
                <w:rFonts w:asciiTheme="minorHAnsi" w:hAnsiTheme="minorHAnsi"/>
                <w:sz w:val="20"/>
                <w:szCs w:val="20"/>
              </w:rPr>
            </w:pPr>
            <w:r w:rsidRPr="00137B64">
              <w:rPr>
                <w:rFonts w:asciiTheme="minorHAnsi" w:hAnsiTheme="minorHAnsi"/>
                <w:sz w:val="20"/>
                <w:szCs w:val="20"/>
              </w:rPr>
              <w:t>•</w:t>
            </w:r>
            <w:r>
              <w:rPr>
                <w:rFonts w:asciiTheme="minorHAnsi" w:hAnsiTheme="minorHAnsi"/>
                <w:sz w:val="20"/>
                <w:szCs w:val="20"/>
              </w:rPr>
              <w:t xml:space="preserve"> Annual tons of CO2 (equivalent) emissions, based on actual atmospheric measurements, as adjusted to account for the energy-fraction</w:t>
            </w:r>
          </w:p>
        </w:tc>
        <w:tc>
          <w:tcPr>
            <w:tcW w:w="7920" w:type="dxa"/>
          </w:tcPr>
          <w:p w:rsidR="00367561" w:rsidRDefault="00367561" w:rsidP="00F543A7">
            <w:pPr>
              <w:spacing w:after="0"/>
              <w:contextualSpacing/>
              <w:rPr>
                <w:rFonts w:asciiTheme="minorHAnsi" w:hAnsiTheme="minorHAnsi"/>
                <w:sz w:val="20"/>
                <w:szCs w:val="20"/>
              </w:rPr>
            </w:pPr>
            <w:r w:rsidRPr="00252EAC">
              <w:rPr>
                <w:rFonts w:asciiTheme="minorHAnsi" w:hAnsiTheme="minorHAnsi"/>
                <w:b/>
                <w:sz w:val="20"/>
                <w:szCs w:val="20"/>
              </w:rPr>
              <w:t xml:space="preserve">Current </w:t>
            </w:r>
            <w:r>
              <w:rPr>
                <w:rFonts w:asciiTheme="minorHAnsi" w:hAnsiTheme="minorHAnsi"/>
                <w:b/>
                <w:sz w:val="20"/>
                <w:szCs w:val="20"/>
              </w:rPr>
              <w:t>Status Target</w:t>
            </w:r>
            <w:r>
              <w:rPr>
                <w:rFonts w:asciiTheme="minorHAnsi" w:hAnsiTheme="minorHAnsi"/>
                <w:sz w:val="20"/>
                <w:szCs w:val="20"/>
              </w:rPr>
              <w:t>:</w:t>
            </w:r>
          </w:p>
          <w:p w:rsidR="00367561" w:rsidRDefault="00367561" w:rsidP="00F543A7">
            <w:pPr>
              <w:spacing w:after="0"/>
              <w:contextualSpacing/>
              <w:rPr>
                <w:rFonts w:asciiTheme="minorHAnsi" w:hAnsiTheme="minorHAnsi"/>
                <w:sz w:val="20"/>
                <w:szCs w:val="20"/>
              </w:rPr>
            </w:pPr>
            <w:r w:rsidRPr="00137B64">
              <w:rPr>
                <w:rFonts w:asciiTheme="minorHAnsi" w:hAnsiTheme="minorHAnsi"/>
                <w:sz w:val="20"/>
                <w:szCs w:val="20"/>
              </w:rPr>
              <w:t>•</w:t>
            </w:r>
            <w:r>
              <w:rPr>
                <w:rFonts w:asciiTheme="minorHAnsi" w:hAnsiTheme="minorHAnsi"/>
                <w:sz w:val="20"/>
                <w:szCs w:val="20"/>
              </w:rPr>
              <w:t xml:space="preserve"> Level of GHG emissions compared with target levels, for both estimated and measured targets. The goal would be to a</w:t>
            </w:r>
            <w:r w:rsidRPr="00CC077E">
              <w:rPr>
                <w:rFonts w:asciiTheme="minorHAnsi" w:hAnsiTheme="minorHAnsi"/>
                <w:sz w:val="20"/>
                <w:szCs w:val="20"/>
              </w:rPr>
              <w:t xml:space="preserve">chieve </w:t>
            </w:r>
            <w:r w:rsidRPr="00CC077E">
              <w:rPr>
                <w:rFonts w:asciiTheme="minorHAnsi" w:hAnsiTheme="minorHAnsi" w:cs="Arial"/>
                <w:sz w:val="20"/>
                <w:szCs w:val="20"/>
              </w:rPr>
              <w:t>a r</w:t>
            </w:r>
            <w:r>
              <w:rPr>
                <w:rFonts w:asciiTheme="minorHAnsi" w:hAnsiTheme="minorHAnsi" w:cs="Arial"/>
                <w:sz w:val="20"/>
                <w:szCs w:val="20"/>
              </w:rPr>
              <w:t xml:space="preserve">eduction to 1990 levels by 2020 </w:t>
            </w:r>
            <w:r w:rsidRPr="00CC077E">
              <w:rPr>
                <w:rFonts w:asciiTheme="minorHAnsi" w:hAnsiTheme="minorHAnsi" w:cs="Arial"/>
                <w:sz w:val="20"/>
                <w:szCs w:val="20"/>
              </w:rPr>
              <w:t>and a reduction to 80% below 2006 emission levels by 2050</w:t>
            </w:r>
            <w:r>
              <w:rPr>
                <w:rFonts w:asciiTheme="minorHAnsi" w:hAnsiTheme="minorHAnsi" w:cs="Arial"/>
                <w:sz w:val="20"/>
                <w:szCs w:val="20"/>
              </w:rPr>
              <w:t xml:space="preserve"> (at the state-wide level).</w:t>
            </w:r>
          </w:p>
          <w:p w:rsidR="00367561" w:rsidRPr="00137B64" w:rsidRDefault="00367561" w:rsidP="00F543A7">
            <w:pPr>
              <w:spacing w:after="0"/>
              <w:contextualSpacing/>
              <w:rPr>
                <w:rFonts w:asciiTheme="minorHAnsi" w:hAnsiTheme="minorHAnsi" w:cstheme="minorHAnsi"/>
                <w:sz w:val="20"/>
                <w:szCs w:val="20"/>
              </w:rPr>
            </w:pPr>
          </w:p>
        </w:tc>
        <w:tc>
          <w:tcPr>
            <w:tcW w:w="4608" w:type="dxa"/>
          </w:tcPr>
          <w:p w:rsidR="00367561" w:rsidRPr="00252EAC" w:rsidRDefault="00367561" w:rsidP="00F543A7">
            <w:pPr>
              <w:spacing w:after="0"/>
              <w:contextualSpacing/>
              <w:rPr>
                <w:rFonts w:asciiTheme="minorHAnsi" w:hAnsiTheme="minorHAnsi"/>
                <w:b/>
                <w:sz w:val="20"/>
                <w:szCs w:val="20"/>
              </w:rPr>
            </w:pPr>
          </w:p>
        </w:tc>
      </w:tr>
      <w:tr w:rsidR="00367561" w:rsidRPr="00137B64" w:rsidTr="00F543A7">
        <w:tc>
          <w:tcPr>
            <w:tcW w:w="3438" w:type="dxa"/>
          </w:tcPr>
          <w:p w:rsidR="00367561" w:rsidRPr="00137B64" w:rsidRDefault="00367561" w:rsidP="00F543A7">
            <w:pPr>
              <w:spacing w:after="0"/>
              <w:contextualSpacing/>
              <w:rPr>
                <w:rFonts w:asciiTheme="minorHAnsi" w:hAnsiTheme="minorHAnsi"/>
                <w:sz w:val="20"/>
                <w:szCs w:val="20"/>
              </w:rPr>
            </w:pPr>
            <w:r w:rsidRPr="00D954B4">
              <w:rPr>
                <w:rFonts w:asciiTheme="minorHAnsi" w:hAnsiTheme="minorHAnsi"/>
                <w:b/>
                <w:sz w:val="20"/>
                <w:szCs w:val="20"/>
              </w:rPr>
              <w:t>Secondary</w:t>
            </w:r>
            <w:r>
              <w:rPr>
                <w:rFonts w:asciiTheme="minorHAnsi" w:hAnsiTheme="minorHAnsi"/>
                <w:sz w:val="20"/>
                <w:szCs w:val="20"/>
              </w:rPr>
              <w:t>:  The energy economy maximizes conversion of primary energy content into useful energy services, resulting in the lowest possible waste fraction.</w:t>
            </w:r>
          </w:p>
          <w:p w:rsidR="00367561" w:rsidRPr="00137B64" w:rsidRDefault="00367561" w:rsidP="00F543A7">
            <w:pPr>
              <w:spacing w:after="0"/>
              <w:contextualSpacing/>
              <w:rPr>
                <w:rFonts w:asciiTheme="minorHAnsi" w:hAnsiTheme="minorHAnsi"/>
                <w:b/>
                <w:sz w:val="20"/>
                <w:szCs w:val="20"/>
              </w:rPr>
            </w:pPr>
          </w:p>
        </w:tc>
        <w:tc>
          <w:tcPr>
            <w:tcW w:w="6570" w:type="dxa"/>
          </w:tcPr>
          <w:p w:rsidR="00367561" w:rsidRDefault="00367561" w:rsidP="00F543A7">
            <w:pPr>
              <w:spacing w:after="0"/>
              <w:contextualSpacing/>
              <w:rPr>
                <w:rFonts w:asciiTheme="minorHAnsi" w:hAnsiTheme="minorHAnsi"/>
                <w:sz w:val="20"/>
                <w:szCs w:val="20"/>
              </w:rPr>
            </w:pPr>
            <w:r w:rsidRPr="00137B64">
              <w:rPr>
                <w:rFonts w:asciiTheme="minorHAnsi" w:hAnsiTheme="minorHAnsi"/>
                <w:sz w:val="20"/>
                <w:szCs w:val="20"/>
              </w:rPr>
              <w:t>•</w:t>
            </w:r>
            <w:r>
              <w:rPr>
                <w:rFonts w:asciiTheme="minorHAnsi" w:hAnsiTheme="minorHAnsi"/>
                <w:sz w:val="20"/>
                <w:szCs w:val="20"/>
              </w:rPr>
              <w:t xml:space="preserve"> The fraction of energy that is not converted to useful energy services as intended</w:t>
            </w:r>
          </w:p>
          <w:p w:rsidR="00367561" w:rsidRPr="00137B64" w:rsidRDefault="00367561" w:rsidP="00F543A7">
            <w:pPr>
              <w:spacing w:after="0"/>
              <w:contextualSpacing/>
              <w:rPr>
                <w:rFonts w:asciiTheme="minorHAnsi" w:hAnsiTheme="minorHAnsi"/>
                <w:sz w:val="20"/>
                <w:szCs w:val="20"/>
              </w:rPr>
            </w:pPr>
            <w:r w:rsidRPr="00137B64">
              <w:rPr>
                <w:rFonts w:asciiTheme="minorHAnsi" w:hAnsiTheme="minorHAnsi" w:cstheme="minorHAnsi"/>
                <w:sz w:val="20"/>
                <w:szCs w:val="20"/>
              </w:rPr>
              <w:t>•</w:t>
            </w:r>
            <w:r>
              <w:rPr>
                <w:rFonts w:asciiTheme="minorHAnsi" w:hAnsiTheme="minorHAnsi" w:cstheme="minorHAnsi"/>
                <w:sz w:val="20"/>
                <w:szCs w:val="20"/>
              </w:rPr>
              <w:t xml:space="preserve">Energy intensity:  </w:t>
            </w:r>
            <w:r w:rsidRPr="00137B64">
              <w:rPr>
                <w:rFonts w:asciiTheme="minorHAnsi" w:hAnsiTheme="minorHAnsi"/>
                <w:sz w:val="20"/>
                <w:szCs w:val="20"/>
              </w:rPr>
              <w:t xml:space="preserve">NJ total and peak energy use per capita, </w:t>
            </w:r>
            <w:r>
              <w:rPr>
                <w:rFonts w:asciiTheme="minorHAnsi" w:hAnsiTheme="minorHAnsi"/>
                <w:sz w:val="20"/>
                <w:szCs w:val="20"/>
              </w:rPr>
              <w:t>and per unit of economic output (GDP), absolute and trend</w:t>
            </w:r>
          </w:p>
          <w:p w:rsidR="00367561" w:rsidRPr="00137B64" w:rsidRDefault="00367561" w:rsidP="00F543A7">
            <w:pPr>
              <w:spacing w:after="0"/>
              <w:contextualSpacing/>
              <w:rPr>
                <w:rFonts w:asciiTheme="minorHAnsi" w:hAnsiTheme="minorHAnsi"/>
                <w:sz w:val="20"/>
                <w:szCs w:val="20"/>
              </w:rPr>
            </w:pPr>
            <w:r w:rsidRPr="00137B64">
              <w:rPr>
                <w:rFonts w:asciiTheme="minorHAnsi" w:hAnsiTheme="minorHAnsi" w:cstheme="minorHAnsi"/>
                <w:sz w:val="20"/>
                <w:szCs w:val="20"/>
              </w:rPr>
              <w:t>•</w:t>
            </w:r>
            <w:r>
              <w:rPr>
                <w:rFonts w:asciiTheme="minorHAnsi" w:hAnsiTheme="minorHAnsi"/>
                <w:sz w:val="20"/>
                <w:szCs w:val="20"/>
              </w:rPr>
              <w:t>Measured efficiency of all in-state power plants</w:t>
            </w:r>
          </w:p>
          <w:p w:rsidR="00367561" w:rsidRDefault="00367561" w:rsidP="00F543A7">
            <w:pPr>
              <w:spacing w:after="0"/>
              <w:contextualSpacing/>
              <w:rPr>
                <w:rFonts w:asciiTheme="minorHAnsi" w:hAnsiTheme="minorHAnsi"/>
                <w:sz w:val="20"/>
                <w:szCs w:val="20"/>
              </w:rPr>
            </w:pPr>
            <w:r w:rsidRPr="00137B64">
              <w:rPr>
                <w:rFonts w:asciiTheme="minorHAnsi" w:hAnsiTheme="minorHAnsi" w:cstheme="minorHAnsi"/>
                <w:sz w:val="20"/>
                <w:szCs w:val="20"/>
              </w:rPr>
              <w:t>•</w:t>
            </w:r>
            <w:r>
              <w:rPr>
                <w:rFonts w:asciiTheme="minorHAnsi" w:hAnsiTheme="minorHAnsi"/>
                <w:sz w:val="20"/>
                <w:szCs w:val="20"/>
              </w:rPr>
              <w:t xml:space="preserve">Degree of peak electricity usage and fraction of energy costs driven by demand charges </w:t>
            </w:r>
          </w:p>
          <w:p w:rsidR="00367561" w:rsidRPr="00137B64" w:rsidRDefault="00367561" w:rsidP="00F543A7">
            <w:pPr>
              <w:spacing w:after="0"/>
              <w:contextualSpacing/>
              <w:rPr>
                <w:rFonts w:asciiTheme="minorHAnsi" w:hAnsiTheme="minorHAnsi"/>
                <w:sz w:val="20"/>
                <w:szCs w:val="20"/>
              </w:rPr>
            </w:pPr>
          </w:p>
        </w:tc>
        <w:tc>
          <w:tcPr>
            <w:tcW w:w="7920" w:type="dxa"/>
          </w:tcPr>
          <w:p w:rsidR="00367561" w:rsidRDefault="00367561" w:rsidP="00F543A7">
            <w:pPr>
              <w:spacing w:after="0"/>
              <w:contextualSpacing/>
              <w:rPr>
                <w:rFonts w:asciiTheme="minorHAnsi" w:hAnsiTheme="minorHAnsi"/>
                <w:sz w:val="20"/>
                <w:szCs w:val="20"/>
              </w:rPr>
            </w:pPr>
            <w:r w:rsidRPr="00137B64">
              <w:rPr>
                <w:rFonts w:asciiTheme="minorHAnsi" w:hAnsiTheme="minorHAnsi" w:cstheme="minorHAnsi"/>
                <w:sz w:val="20"/>
                <w:szCs w:val="20"/>
              </w:rPr>
              <w:t>•</w:t>
            </w:r>
            <w:r>
              <w:rPr>
                <w:rFonts w:asciiTheme="minorHAnsi" w:hAnsiTheme="minorHAnsi" w:cstheme="minorHAnsi"/>
                <w:sz w:val="20"/>
                <w:szCs w:val="20"/>
              </w:rPr>
              <w:t xml:space="preserve"> One minus the r</w:t>
            </w:r>
            <w:r>
              <w:rPr>
                <w:rFonts w:asciiTheme="minorHAnsi" w:hAnsiTheme="minorHAnsi"/>
                <w:sz w:val="20"/>
                <w:szCs w:val="20"/>
              </w:rPr>
              <w:t>atio of energy delivered as useful energy services (in BTU or equivalent) to the energy content of primary energy sources consumed. The goal would be to achieve the lowest possible waste fraction (i.e., maximum energy efficiency), while recognizing that waste cannot be reduced to absolute zero.</w:t>
            </w:r>
          </w:p>
          <w:p w:rsidR="00367561" w:rsidRDefault="00367561" w:rsidP="00F543A7">
            <w:pPr>
              <w:spacing w:after="0"/>
              <w:contextualSpacing/>
              <w:rPr>
                <w:rFonts w:asciiTheme="minorHAnsi" w:hAnsiTheme="minorHAnsi"/>
                <w:sz w:val="20"/>
                <w:szCs w:val="20"/>
              </w:rPr>
            </w:pPr>
          </w:p>
          <w:p w:rsidR="00367561" w:rsidRDefault="00367561" w:rsidP="00F543A7">
            <w:pPr>
              <w:spacing w:after="0"/>
              <w:contextualSpacing/>
              <w:rPr>
                <w:rFonts w:asciiTheme="minorHAnsi" w:hAnsiTheme="minorHAnsi"/>
                <w:sz w:val="20"/>
                <w:szCs w:val="20"/>
              </w:rPr>
            </w:pPr>
          </w:p>
          <w:p w:rsidR="00367561" w:rsidRPr="00137B64" w:rsidRDefault="00367561" w:rsidP="00F543A7">
            <w:pPr>
              <w:spacing w:after="0"/>
              <w:contextualSpacing/>
              <w:rPr>
                <w:rFonts w:asciiTheme="minorHAnsi" w:hAnsiTheme="minorHAnsi"/>
                <w:sz w:val="20"/>
                <w:szCs w:val="20"/>
              </w:rPr>
            </w:pPr>
            <w:r>
              <w:rPr>
                <w:rFonts w:asciiTheme="minorHAnsi" w:hAnsiTheme="minorHAnsi"/>
                <w:sz w:val="20"/>
                <w:szCs w:val="20"/>
              </w:rPr>
              <w:t xml:space="preserve"> </w:t>
            </w:r>
          </w:p>
        </w:tc>
        <w:tc>
          <w:tcPr>
            <w:tcW w:w="4608" w:type="dxa"/>
          </w:tcPr>
          <w:p w:rsidR="00367561" w:rsidRDefault="00367561" w:rsidP="00F543A7">
            <w:pPr>
              <w:spacing w:after="0"/>
              <w:contextualSpacing/>
              <w:rPr>
                <w:rFonts w:asciiTheme="minorHAnsi" w:hAnsiTheme="minorHAnsi" w:cstheme="minorHAnsi"/>
                <w:sz w:val="20"/>
                <w:szCs w:val="20"/>
              </w:rPr>
            </w:pPr>
          </w:p>
        </w:tc>
      </w:tr>
      <w:tr w:rsidR="00367561" w:rsidRPr="00137B64" w:rsidTr="00F543A7">
        <w:tc>
          <w:tcPr>
            <w:tcW w:w="3438" w:type="dxa"/>
          </w:tcPr>
          <w:p w:rsidR="00367561" w:rsidRPr="00137B64" w:rsidRDefault="00367561" w:rsidP="00F543A7">
            <w:pPr>
              <w:spacing w:after="0"/>
              <w:contextualSpacing/>
              <w:rPr>
                <w:rFonts w:asciiTheme="minorHAnsi" w:hAnsiTheme="minorHAnsi"/>
                <w:sz w:val="20"/>
                <w:szCs w:val="20"/>
              </w:rPr>
            </w:pPr>
            <w:r w:rsidRPr="00D954B4">
              <w:rPr>
                <w:rFonts w:asciiTheme="minorHAnsi" w:hAnsiTheme="minorHAnsi"/>
                <w:b/>
                <w:sz w:val="20"/>
                <w:szCs w:val="20"/>
              </w:rPr>
              <w:t>Secondary</w:t>
            </w:r>
            <w:r>
              <w:rPr>
                <w:rFonts w:asciiTheme="minorHAnsi" w:hAnsiTheme="minorHAnsi"/>
                <w:sz w:val="20"/>
                <w:szCs w:val="20"/>
              </w:rPr>
              <w:t>:  There is diversity of primary supplies and no single points of failure in the infrastructure.</w:t>
            </w:r>
          </w:p>
          <w:p w:rsidR="00367561" w:rsidRPr="00137B64" w:rsidRDefault="00367561" w:rsidP="00F543A7">
            <w:pPr>
              <w:spacing w:after="0"/>
              <w:contextualSpacing/>
              <w:rPr>
                <w:rFonts w:asciiTheme="minorHAnsi" w:hAnsiTheme="minorHAnsi"/>
                <w:b/>
                <w:sz w:val="20"/>
                <w:szCs w:val="20"/>
              </w:rPr>
            </w:pPr>
          </w:p>
        </w:tc>
        <w:tc>
          <w:tcPr>
            <w:tcW w:w="6570" w:type="dxa"/>
          </w:tcPr>
          <w:p w:rsidR="00367561" w:rsidRDefault="00367561" w:rsidP="00F543A7">
            <w:pPr>
              <w:spacing w:after="0"/>
              <w:contextualSpacing/>
              <w:rPr>
                <w:rFonts w:asciiTheme="minorHAnsi" w:hAnsiTheme="minorHAnsi"/>
                <w:sz w:val="20"/>
                <w:szCs w:val="20"/>
              </w:rPr>
            </w:pPr>
            <w:r w:rsidRPr="00137B64">
              <w:rPr>
                <w:rFonts w:asciiTheme="minorHAnsi" w:hAnsiTheme="minorHAnsi"/>
                <w:sz w:val="20"/>
                <w:szCs w:val="20"/>
              </w:rPr>
              <w:t>•</w:t>
            </w:r>
            <w:r>
              <w:rPr>
                <w:rFonts w:asciiTheme="minorHAnsi" w:hAnsiTheme="minorHAnsi"/>
                <w:sz w:val="20"/>
                <w:szCs w:val="20"/>
              </w:rPr>
              <w:t xml:space="preserve">  Quantification of supply diversity based on the number of energy supply types and sources, and relative magnitude of each</w:t>
            </w:r>
          </w:p>
          <w:p w:rsidR="00367561" w:rsidRDefault="00367561" w:rsidP="00F543A7">
            <w:pPr>
              <w:spacing w:after="0"/>
              <w:contextualSpacing/>
              <w:rPr>
                <w:rFonts w:asciiTheme="minorHAnsi" w:hAnsiTheme="minorHAnsi" w:cstheme="minorHAnsi"/>
                <w:sz w:val="20"/>
                <w:szCs w:val="20"/>
              </w:rPr>
            </w:pPr>
            <w:r w:rsidRPr="00137B64">
              <w:rPr>
                <w:rFonts w:asciiTheme="minorHAnsi" w:hAnsiTheme="minorHAnsi"/>
                <w:sz w:val="20"/>
                <w:szCs w:val="20"/>
              </w:rPr>
              <w:t>•</w:t>
            </w:r>
            <w:r>
              <w:rPr>
                <w:rFonts w:asciiTheme="minorHAnsi" w:hAnsiTheme="minorHAnsi"/>
                <w:sz w:val="20"/>
                <w:szCs w:val="20"/>
              </w:rPr>
              <w:t xml:space="preserve"> </w:t>
            </w:r>
            <w:r>
              <w:rPr>
                <w:rFonts w:asciiTheme="minorHAnsi" w:hAnsiTheme="minorHAnsi" w:cstheme="minorHAnsi"/>
                <w:sz w:val="20"/>
                <w:szCs w:val="20"/>
              </w:rPr>
              <w:t>A measure of the probability of failure and the magnitude of impact of any single points of failure within the infrastructure</w:t>
            </w:r>
          </w:p>
          <w:p w:rsidR="00367561" w:rsidRPr="00137B64" w:rsidRDefault="00367561" w:rsidP="00F543A7">
            <w:pPr>
              <w:spacing w:after="0"/>
              <w:contextualSpacing/>
              <w:rPr>
                <w:rFonts w:asciiTheme="minorHAnsi" w:hAnsiTheme="minorHAnsi"/>
                <w:b/>
                <w:sz w:val="20"/>
                <w:szCs w:val="20"/>
              </w:rPr>
            </w:pPr>
          </w:p>
        </w:tc>
        <w:tc>
          <w:tcPr>
            <w:tcW w:w="7920" w:type="dxa"/>
          </w:tcPr>
          <w:p w:rsidR="00367561" w:rsidRDefault="00367561" w:rsidP="00F543A7">
            <w:pPr>
              <w:spacing w:after="0"/>
              <w:contextualSpacing/>
              <w:rPr>
                <w:rFonts w:asciiTheme="minorHAnsi" w:hAnsiTheme="minorHAnsi" w:cstheme="minorHAnsi"/>
                <w:sz w:val="20"/>
                <w:szCs w:val="20"/>
              </w:rPr>
            </w:pPr>
            <w:r w:rsidRPr="00137B64">
              <w:rPr>
                <w:rFonts w:asciiTheme="minorHAnsi" w:hAnsiTheme="minorHAnsi" w:cstheme="minorHAnsi"/>
                <w:sz w:val="20"/>
                <w:szCs w:val="20"/>
              </w:rPr>
              <w:t>•</w:t>
            </w:r>
            <w:r>
              <w:rPr>
                <w:rFonts w:asciiTheme="minorHAnsi" w:hAnsiTheme="minorHAnsi" w:cstheme="minorHAnsi"/>
                <w:sz w:val="20"/>
                <w:szCs w:val="20"/>
              </w:rPr>
              <w:t xml:space="preserve"> Avoidance of excessive use of any one source</w:t>
            </w:r>
          </w:p>
          <w:p w:rsidR="00367561" w:rsidRDefault="00367561" w:rsidP="00F543A7">
            <w:pPr>
              <w:spacing w:after="0"/>
              <w:contextualSpacing/>
              <w:rPr>
                <w:rFonts w:asciiTheme="minorHAnsi" w:hAnsiTheme="minorHAnsi" w:cstheme="minorHAnsi"/>
                <w:sz w:val="20"/>
                <w:szCs w:val="20"/>
              </w:rPr>
            </w:pPr>
          </w:p>
          <w:p w:rsidR="00367561" w:rsidRPr="00CA56A4" w:rsidRDefault="00367561" w:rsidP="00F543A7">
            <w:pPr>
              <w:spacing w:after="0"/>
              <w:contextualSpacing/>
              <w:rPr>
                <w:rFonts w:asciiTheme="minorHAnsi" w:hAnsiTheme="minorHAnsi" w:cstheme="minorHAnsi"/>
                <w:sz w:val="20"/>
                <w:szCs w:val="20"/>
              </w:rPr>
            </w:pPr>
            <w:r w:rsidRPr="00137B64">
              <w:rPr>
                <w:rFonts w:asciiTheme="minorHAnsi" w:hAnsiTheme="minorHAnsi" w:cstheme="minorHAnsi"/>
                <w:sz w:val="20"/>
                <w:szCs w:val="20"/>
              </w:rPr>
              <w:t>•</w:t>
            </w:r>
            <w:r>
              <w:rPr>
                <w:rFonts w:asciiTheme="minorHAnsi" w:hAnsiTheme="minorHAnsi" w:cstheme="minorHAnsi"/>
                <w:sz w:val="20"/>
                <w:szCs w:val="20"/>
              </w:rPr>
              <w:t xml:space="preserve"> Decreased probability of failure and impact of any single points of failure within the infrastructure over time</w:t>
            </w:r>
          </w:p>
        </w:tc>
        <w:tc>
          <w:tcPr>
            <w:tcW w:w="4608" w:type="dxa"/>
          </w:tcPr>
          <w:p w:rsidR="00367561" w:rsidRDefault="00367561" w:rsidP="00F543A7">
            <w:pPr>
              <w:spacing w:after="0"/>
              <w:contextualSpacing/>
              <w:rPr>
                <w:rFonts w:asciiTheme="minorHAnsi" w:hAnsiTheme="minorHAnsi" w:cstheme="minorHAnsi"/>
                <w:sz w:val="20"/>
                <w:szCs w:val="20"/>
              </w:rPr>
            </w:pPr>
          </w:p>
        </w:tc>
      </w:tr>
      <w:tr w:rsidR="00367561" w:rsidRPr="00137B64" w:rsidTr="00F543A7">
        <w:tc>
          <w:tcPr>
            <w:tcW w:w="3438" w:type="dxa"/>
          </w:tcPr>
          <w:p w:rsidR="00367561" w:rsidRPr="00137B64" w:rsidRDefault="00367561" w:rsidP="00F543A7">
            <w:pPr>
              <w:spacing w:after="0"/>
              <w:contextualSpacing/>
              <w:rPr>
                <w:rFonts w:asciiTheme="minorHAnsi" w:hAnsiTheme="minorHAnsi"/>
                <w:b/>
                <w:sz w:val="20"/>
                <w:szCs w:val="20"/>
              </w:rPr>
            </w:pPr>
            <w:r w:rsidRPr="00D954B4">
              <w:rPr>
                <w:rFonts w:asciiTheme="minorHAnsi" w:hAnsiTheme="minorHAnsi"/>
                <w:b/>
                <w:sz w:val="20"/>
                <w:szCs w:val="20"/>
              </w:rPr>
              <w:t>Secondary</w:t>
            </w:r>
            <w:r>
              <w:rPr>
                <w:rFonts w:asciiTheme="minorHAnsi" w:hAnsiTheme="minorHAnsi"/>
                <w:sz w:val="20"/>
                <w:szCs w:val="20"/>
              </w:rPr>
              <w:t>:  The state supplies all of its own energy needs, with the need for imports</w:t>
            </w:r>
          </w:p>
        </w:tc>
        <w:tc>
          <w:tcPr>
            <w:tcW w:w="6570" w:type="dxa"/>
          </w:tcPr>
          <w:p w:rsidR="00367561" w:rsidRPr="00137B64" w:rsidRDefault="00367561" w:rsidP="00F543A7">
            <w:pPr>
              <w:spacing w:after="0"/>
              <w:contextualSpacing/>
              <w:rPr>
                <w:rFonts w:asciiTheme="minorHAnsi" w:hAnsiTheme="minorHAnsi"/>
                <w:sz w:val="20"/>
                <w:szCs w:val="20"/>
              </w:rPr>
            </w:pPr>
            <w:r w:rsidRPr="00137B64">
              <w:rPr>
                <w:rFonts w:asciiTheme="minorHAnsi" w:hAnsiTheme="minorHAnsi"/>
                <w:sz w:val="20"/>
                <w:szCs w:val="20"/>
              </w:rPr>
              <w:t>•</w:t>
            </w:r>
            <w:r>
              <w:rPr>
                <w:rFonts w:asciiTheme="minorHAnsi" w:hAnsiTheme="minorHAnsi"/>
                <w:sz w:val="20"/>
                <w:szCs w:val="20"/>
              </w:rPr>
              <w:t xml:space="preserve"> The fraction of energy, fuel and electricity, that comes from sources outside NJ borders   </w:t>
            </w:r>
          </w:p>
        </w:tc>
        <w:tc>
          <w:tcPr>
            <w:tcW w:w="7920" w:type="dxa"/>
          </w:tcPr>
          <w:p w:rsidR="00367561" w:rsidRPr="00137B64" w:rsidRDefault="00367561" w:rsidP="00F543A7">
            <w:pPr>
              <w:spacing w:after="0"/>
              <w:contextualSpacing/>
              <w:rPr>
                <w:rFonts w:asciiTheme="minorHAnsi" w:hAnsiTheme="minorHAnsi"/>
                <w:sz w:val="20"/>
                <w:szCs w:val="20"/>
              </w:rPr>
            </w:pPr>
            <w:r w:rsidRPr="00137B64">
              <w:rPr>
                <w:rFonts w:asciiTheme="minorHAnsi" w:hAnsiTheme="minorHAnsi" w:cstheme="minorHAnsi"/>
                <w:sz w:val="20"/>
                <w:szCs w:val="20"/>
              </w:rPr>
              <w:t>•</w:t>
            </w:r>
            <w:r>
              <w:rPr>
                <w:rFonts w:asciiTheme="minorHAnsi" w:hAnsiTheme="minorHAnsi" w:cstheme="minorHAnsi"/>
                <w:sz w:val="20"/>
                <w:szCs w:val="20"/>
              </w:rPr>
              <w:t xml:space="preserve"> M</w:t>
            </w:r>
            <w:r>
              <w:rPr>
                <w:rFonts w:asciiTheme="minorHAnsi" w:hAnsiTheme="minorHAnsi"/>
                <w:sz w:val="20"/>
                <w:szCs w:val="20"/>
              </w:rPr>
              <w:t>inimized dependence on external sources for either fuel or electricity</w:t>
            </w:r>
          </w:p>
          <w:p w:rsidR="00367561" w:rsidRDefault="00367561" w:rsidP="00F543A7">
            <w:pPr>
              <w:spacing w:after="0"/>
              <w:contextualSpacing/>
              <w:rPr>
                <w:rFonts w:asciiTheme="minorHAnsi" w:hAnsiTheme="minorHAnsi" w:cstheme="minorHAnsi"/>
                <w:sz w:val="20"/>
                <w:szCs w:val="20"/>
              </w:rPr>
            </w:pPr>
          </w:p>
          <w:p w:rsidR="00367561" w:rsidRPr="00137B64" w:rsidRDefault="00367561" w:rsidP="00F543A7">
            <w:pPr>
              <w:spacing w:after="0"/>
              <w:contextualSpacing/>
              <w:rPr>
                <w:rFonts w:asciiTheme="minorHAnsi" w:hAnsiTheme="minorHAnsi"/>
                <w:sz w:val="20"/>
                <w:szCs w:val="20"/>
              </w:rPr>
            </w:pPr>
          </w:p>
        </w:tc>
        <w:tc>
          <w:tcPr>
            <w:tcW w:w="4608" w:type="dxa"/>
          </w:tcPr>
          <w:p w:rsidR="00367561" w:rsidRDefault="00367561" w:rsidP="00F543A7">
            <w:pPr>
              <w:spacing w:after="0"/>
              <w:contextualSpacing/>
              <w:rPr>
                <w:rFonts w:asciiTheme="minorHAnsi" w:hAnsiTheme="minorHAnsi" w:cstheme="minorHAnsi"/>
                <w:sz w:val="20"/>
                <w:szCs w:val="20"/>
              </w:rPr>
            </w:pPr>
          </w:p>
        </w:tc>
      </w:tr>
      <w:tr w:rsidR="00367561" w:rsidRPr="00137B64" w:rsidTr="00F543A7">
        <w:trPr>
          <w:trHeight w:val="1376"/>
        </w:trPr>
        <w:tc>
          <w:tcPr>
            <w:tcW w:w="3438" w:type="dxa"/>
          </w:tcPr>
          <w:p w:rsidR="00367561" w:rsidRDefault="00367561" w:rsidP="00F543A7">
            <w:pPr>
              <w:spacing w:after="0"/>
              <w:contextualSpacing/>
              <w:rPr>
                <w:rFonts w:asciiTheme="minorHAnsi" w:hAnsiTheme="minorHAnsi"/>
                <w:sz w:val="20"/>
                <w:szCs w:val="20"/>
              </w:rPr>
            </w:pPr>
            <w:r w:rsidRPr="00D954B4">
              <w:rPr>
                <w:rFonts w:asciiTheme="minorHAnsi" w:hAnsiTheme="minorHAnsi"/>
                <w:b/>
                <w:sz w:val="20"/>
                <w:szCs w:val="20"/>
              </w:rPr>
              <w:t>Secondary</w:t>
            </w:r>
            <w:r>
              <w:rPr>
                <w:rFonts w:asciiTheme="minorHAnsi" w:hAnsiTheme="minorHAnsi"/>
                <w:sz w:val="20"/>
                <w:szCs w:val="20"/>
              </w:rPr>
              <w:t xml:space="preserve">:  The infrastructure is able to deliver the energy needed, when and where it is needed, in the quantities needed, at the technical quality required.  </w:t>
            </w:r>
          </w:p>
          <w:p w:rsidR="00367561" w:rsidRPr="00137B64" w:rsidRDefault="00367561" w:rsidP="00F543A7">
            <w:pPr>
              <w:spacing w:after="0"/>
              <w:contextualSpacing/>
              <w:rPr>
                <w:rFonts w:asciiTheme="minorHAnsi" w:hAnsiTheme="minorHAnsi"/>
                <w:b/>
                <w:sz w:val="20"/>
                <w:szCs w:val="20"/>
              </w:rPr>
            </w:pPr>
          </w:p>
        </w:tc>
        <w:tc>
          <w:tcPr>
            <w:tcW w:w="6570" w:type="dxa"/>
          </w:tcPr>
          <w:p w:rsidR="00367561" w:rsidRPr="00137B64" w:rsidRDefault="00367561" w:rsidP="00F543A7">
            <w:pPr>
              <w:spacing w:after="0"/>
              <w:contextualSpacing/>
              <w:rPr>
                <w:rFonts w:asciiTheme="minorHAnsi" w:hAnsiTheme="minorHAnsi"/>
                <w:b/>
                <w:sz w:val="20"/>
                <w:szCs w:val="20"/>
              </w:rPr>
            </w:pPr>
            <w:r w:rsidRPr="00137B64">
              <w:rPr>
                <w:rFonts w:asciiTheme="minorHAnsi" w:hAnsiTheme="minorHAnsi"/>
                <w:sz w:val="20"/>
                <w:szCs w:val="20"/>
              </w:rPr>
              <w:t>•</w:t>
            </w:r>
            <w:r>
              <w:rPr>
                <w:rFonts w:asciiTheme="minorHAnsi" w:hAnsiTheme="minorHAnsi"/>
                <w:sz w:val="20"/>
                <w:szCs w:val="20"/>
              </w:rPr>
              <w:t xml:space="preserve">  Quantification of the number of failures in delivery or technical quality, and the restoral intervals in the case of outages</w:t>
            </w:r>
          </w:p>
        </w:tc>
        <w:tc>
          <w:tcPr>
            <w:tcW w:w="7920" w:type="dxa"/>
          </w:tcPr>
          <w:p w:rsidR="00367561" w:rsidRDefault="00367561" w:rsidP="00F543A7">
            <w:pPr>
              <w:spacing w:after="0"/>
              <w:contextualSpacing/>
              <w:rPr>
                <w:rFonts w:asciiTheme="minorHAnsi" w:hAnsiTheme="minorHAnsi"/>
                <w:sz w:val="20"/>
                <w:szCs w:val="20"/>
              </w:rPr>
            </w:pPr>
            <w:r w:rsidRPr="00137B64">
              <w:rPr>
                <w:rFonts w:asciiTheme="minorHAnsi" w:hAnsiTheme="minorHAnsi"/>
                <w:sz w:val="20"/>
                <w:szCs w:val="20"/>
              </w:rPr>
              <w:t>•</w:t>
            </w:r>
            <w:r>
              <w:rPr>
                <w:rFonts w:asciiTheme="minorHAnsi" w:hAnsiTheme="minorHAnsi"/>
                <w:sz w:val="20"/>
                <w:szCs w:val="20"/>
              </w:rPr>
              <w:t xml:space="preserve"> Delivery disruptions are minimized, and when outages occur, the ability to provide at least basic service almost immediately and full restoral of service as quickly as possible</w:t>
            </w:r>
          </w:p>
          <w:p w:rsidR="00367561" w:rsidRPr="00137B64" w:rsidRDefault="00367561" w:rsidP="00F543A7">
            <w:pPr>
              <w:spacing w:after="0"/>
              <w:contextualSpacing/>
              <w:rPr>
                <w:rFonts w:asciiTheme="minorHAnsi" w:hAnsiTheme="minorHAnsi" w:cstheme="minorHAnsi"/>
                <w:sz w:val="20"/>
                <w:szCs w:val="20"/>
              </w:rPr>
            </w:pPr>
          </w:p>
        </w:tc>
        <w:tc>
          <w:tcPr>
            <w:tcW w:w="4608" w:type="dxa"/>
          </w:tcPr>
          <w:p w:rsidR="00367561" w:rsidRDefault="00367561" w:rsidP="00F543A7">
            <w:pPr>
              <w:spacing w:after="0"/>
              <w:contextualSpacing/>
              <w:rPr>
                <w:rFonts w:asciiTheme="minorHAnsi" w:hAnsiTheme="minorHAnsi"/>
                <w:sz w:val="20"/>
                <w:szCs w:val="20"/>
              </w:rPr>
            </w:pPr>
          </w:p>
        </w:tc>
      </w:tr>
      <w:tr w:rsidR="00367561" w:rsidRPr="00137B64" w:rsidTr="00F543A7">
        <w:tc>
          <w:tcPr>
            <w:tcW w:w="3438" w:type="dxa"/>
          </w:tcPr>
          <w:p w:rsidR="00367561" w:rsidRPr="00137B64" w:rsidRDefault="00367561" w:rsidP="00F543A7">
            <w:pPr>
              <w:spacing w:after="0"/>
              <w:contextualSpacing/>
              <w:rPr>
                <w:rFonts w:asciiTheme="minorHAnsi" w:hAnsiTheme="minorHAnsi"/>
                <w:sz w:val="20"/>
                <w:szCs w:val="20"/>
              </w:rPr>
            </w:pPr>
            <w:r w:rsidRPr="00D954B4">
              <w:rPr>
                <w:rFonts w:asciiTheme="minorHAnsi" w:hAnsiTheme="minorHAnsi"/>
                <w:b/>
                <w:sz w:val="20"/>
                <w:szCs w:val="20"/>
              </w:rPr>
              <w:t>Secondary</w:t>
            </w:r>
            <w:r>
              <w:rPr>
                <w:rFonts w:asciiTheme="minorHAnsi" w:hAnsiTheme="minorHAnsi"/>
                <w:sz w:val="20"/>
                <w:szCs w:val="20"/>
              </w:rPr>
              <w:t xml:space="preserve">:  The end-consumer cost of energy is on par with other markets (states, etc.) that are attempting to deliver similar levels of sustainability.  </w:t>
            </w:r>
          </w:p>
          <w:p w:rsidR="00367561" w:rsidRPr="00137B64" w:rsidRDefault="00367561" w:rsidP="00F543A7">
            <w:pPr>
              <w:spacing w:after="0"/>
              <w:contextualSpacing/>
              <w:rPr>
                <w:rFonts w:asciiTheme="minorHAnsi" w:hAnsiTheme="minorHAnsi"/>
                <w:b/>
                <w:sz w:val="20"/>
                <w:szCs w:val="20"/>
              </w:rPr>
            </w:pPr>
          </w:p>
        </w:tc>
        <w:tc>
          <w:tcPr>
            <w:tcW w:w="6570" w:type="dxa"/>
          </w:tcPr>
          <w:p w:rsidR="00367561" w:rsidRDefault="00367561" w:rsidP="00F543A7">
            <w:pPr>
              <w:spacing w:after="0"/>
              <w:contextualSpacing/>
              <w:rPr>
                <w:rFonts w:asciiTheme="minorHAnsi" w:hAnsiTheme="minorHAnsi"/>
                <w:sz w:val="20"/>
                <w:szCs w:val="20"/>
              </w:rPr>
            </w:pPr>
            <w:r w:rsidRPr="00137B64">
              <w:rPr>
                <w:rFonts w:asciiTheme="minorHAnsi" w:hAnsiTheme="minorHAnsi"/>
                <w:sz w:val="20"/>
                <w:szCs w:val="20"/>
              </w:rPr>
              <w:t>•</w:t>
            </w:r>
            <w:r>
              <w:rPr>
                <w:rFonts w:asciiTheme="minorHAnsi" w:hAnsiTheme="minorHAnsi"/>
                <w:sz w:val="20"/>
                <w:szCs w:val="20"/>
              </w:rPr>
              <w:t xml:space="preserve"> Cost of energy per unit delivered as perceived on a customer’s bill, compared with other benchmark markets with similar goals</w:t>
            </w:r>
          </w:p>
          <w:p w:rsidR="00367561" w:rsidRDefault="00367561" w:rsidP="00F543A7">
            <w:pPr>
              <w:spacing w:after="0"/>
              <w:contextualSpacing/>
              <w:rPr>
                <w:rFonts w:asciiTheme="minorHAnsi" w:hAnsiTheme="minorHAnsi"/>
                <w:sz w:val="20"/>
                <w:szCs w:val="20"/>
              </w:rPr>
            </w:pPr>
            <w:r w:rsidRPr="00137B64">
              <w:rPr>
                <w:rFonts w:asciiTheme="minorHAnsi" w:hAnsiTheme="minorHAnsi"/>
                <w:sz w:val="20"/>
                <w:szCs w:val="20"/>
              </w:rPr>
              <w:t>•</w:t>
            </w:r>
            <w:r>
              <w:rPr>
                <w:rFonts w:asciiTheme="minorHAnsi" w:hAnsiTheme="minorHAnsi"/>
                <w:sz w:val="20"/>
                <w:szCs w:val="20"/>
              </w:rPr>
              <w:t xml:space="preserve"> Estimated “all in” cost parameters that more fully consider costs that are not evident on customer bills</w:t>
            </w:r>
          </w:p>
          <w:p w:rsidR="00367561" w:rsidRPr="00137B64" w:rsidRDefault="00367561" w:rsidP="00F543A7">
            <w:pPr>
              <w:spacing w:after="0"/>
              <w:contextualSpacing/>
              <w:rPr>
                <w:rFonts w:asciiTheme="minorHAnsi" w:hAnsiTheme="minorHAnsi"/>
                <w:sz w:val="20"/>
                <w:szCs w:val="20"/>
              </w:rPr>
            </w:pPr>
            <w:r w:rsidRPr="00137B64">
              <w:rPr>
                <w:rFonts w:asciiTheme="minorHAnsi" w:hAnsiTheme="minorHAnsi"/>
                <w:sz w:val="20"/>
                <w:szCs w:val="20"/>
              </w:rPr>
              <w:t>•</w:t>
            </w:r>
            <w:r>
              <w:rPr>
                <w:rFonts w:asciiTheme="minorHAnsi" w:hAnsiTheme="minorHAnsi"/>
                <w:sz w:val="20"/>
                <w:szCs w:val="20"/>
              </w:rPr>
              <w:t xml:space="preserve"> Degree of government support of all types for each supply source as delivered</w:t>
            </w:r>
          </w:p>
        </w:tc>
        <w:tc>
          <w:tcPr>
            <w:tcW w:w="7920" w:type="dxa"/>
          </w:tcPr>
          <w:p w:rsidR="00367561" w:rsidRPr="00137B64" w:rsidRDefault="00367561" w:rsidP="00F543A7">
            <w:pPr>
              <w:spacing w:after="0"/>
              <w:contextualSpacing/>
              <w:rPr>
                <w:rFonts w:asciiTheme="minorHAnsi" w:hAnsiTheme="minorHAnsi"/>
                <w:sz w:val="20"/>
                <w:szCs w:val="20"/>
              </w:rPr>
            </w:pPr>
            <w:r w:rsidRPr="00137B64">
              <w:rPr>
                <w:rFonts w:asciiTheme="minorHAnsi" w:hAnsiTheme="minorHAnsi"/>
                <w:sz w:val="20"/>
                <w:szCs w:val="20"/>
              </w:rPr>
              <w:t>•</w:t>
            </w:r>
            <w:r>
              <w:rPr>
                <w:rFonts w:asciiTheme="minorHAnsi" w:hAnsiTheme="minorHAnsi"/>
                <w:sz w:val="20"/>
                <w:szCs w:val="20"/>
              </w:rPr>
              <w:t xml:space="preserve"> Cost of energy per unit delivered as perceived on a customer’s bill, compared with other benchmark markets with similar goals is consistent</w:t>
            </w:r>
          </w:p>
          <w:p w:rsidR="00367561" w:rsidRPr="00137B64" w:rsidRDefault="00367561" w:rsidP="00F543A7">
            <w:pPr>
              <w:spacing w:after="0"/>
              <w:contextualSpacing/>
              <w:rPr>
                <w:rFonts w:asciiTheme="minorHAnsi" w:hAnsiTheme="minorHAnsi"/>
                <w:sz w:val="20"/>
                <w:szCs w:val="20"/>
              </w:rPr>
            </w:pPr>
            <w:r w:rsidRPr="00137B64">
              <w:rPr>
                <w:rFonts w:asciiTheme="minorHAnsi" w:hAnsiTheme="minorHAnsi"/>
                <w:sz w:val="20"/>
                <w:szCs w:val="20"/>
              </w:rPr>
              <w:t>•</w:t>
            </w:r>
            <w:r>
              <w:rPr>
                <w:rFonts w:asciiTheme="minorHAnsi" w:hAnsiTheme="minorHAnsi"/>
                <w:sz w:val="20"/>
                <w:szCs w:val="20"/>
              </w:rPr>
              <w:t xml:space="preserve"> Cost measures properly and fully capture government involvement, externalities, and lifecycle implications</w:t>
            </w:r>
          </w:p>
        </w:tc>
        <w:tc>
          <w:tcPr>
            <w:tcW w:w="4608" w:type="dxa"/>
          </w:tcPr>
          <w:p w:rsidR="00367561" w:rsidRDefault="00367561" w:rsidP="00F543A7">
            <w:pPr>
              <w:spacing w:after="0"/>
              <w:contextualSpacing/>
              <w:rPr>
                <w:rFonts w:asciiTheme="minorHAnsi" w:hAnsiTheme="minorHAnsi"/>
                <w:sz w:val="20"/>
                <w:szCs w:val="20"/>
              </w:rPr>
            </w:pPr>
          </w:p>
        </w:tc>
      </w:tr>
    </w:tbl>
    <w:p w:rsidR="00367561" w:rsidRDefault="00367561" w:rsidP="00367561">
      <w:pPr>
        <w:spacing w:before="120"/>
        <w:rPr>
          <w:rFonts w:asciiTheme="minorHAnsi" w:hAnsiTheme="minorHAnsi"/>
        </w:rPr>
        <w:sectPr w:rsidR="00367561" w:rsidSect="0066177D">
          <w:pgSz w:w="24480" w:h="15840" w:orient="landscape" w:code="17"/>
          <w:pgMar w:top="720" w:right="720" w:bottom="720" w:left="720" w:header="720" w:footer="534" w:gutter="0"/>
          <w:cols w:space="720"/>
          <w:titlePg/>
          <w:docGrid w:linePitch="360"/>
        </w:sectPr>
      </w:pPr>
      <w:r>
        <w:rPr>
          <w:rFonts w:asciiTheme="minorHAnsi" w:hAnsiTheme="minorHAnsi"/>
        </w:rPr>
        <w:t xml:space="preserve">Please use back of page to list any aspects of the topic missing or other appropriate indicators or </w:t>
      </w:r>
      <w:r>
        <w:rPr>
          <w:rFonts w:asciiTheme="minorHAnsi" w:hAnsiTheme="minorHAnsi"/>
        </w:rPr>
        <w:t>targets that should be explore</w:t>
      </w:r>
      <w:bookmarkStart w:id="0" w:name="_GoBack"/>
      <w:bookmarkEnd w:id="0"/>
    </w:p>
    <w:p w:rsidR="00BB6353" w:rsidRDefault="00BB6353" w:rsidP="00367561"/>
    <w:sectPr w:rsidR="00BB6353" w:rsidSect="00367561">
      <w:pgSz w:w="24480" w:h="15840" w:orient="landscape"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61" w:rsidRDefault="00367561" w:rsidP="00367561">
      <w:pPr>
        <w:spacing w:after="0"/>
      </w:pPr>
      <w:r>
        <w:separator/>
      </w:r>
    </w:p>
  </w:endnote>
  <w:endnote w:type="continuationSeparator" w:id="0">
    <w:p w:rsidR="00367561" w:rsidRDefault="00367561" w:rsidP="00367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utura Std Boo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61" w:rsidRDefault="00367561" w:rsidP="00367561">
      <w:pPr>
        <w:spacing w:after="0"/>
      </w:pPr>
      <w:r>
        <w:separator/>
      </w:r>
    </w:p>
  </w:footnote>
  <w:footnote w:type="continuationSeparator" w:id="0">
    <w:p w:rsidR="00367561" w:rsidRDefault="00367561" w:rsidP="0036756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61"/>
    <w:rsid w:val="00367561"/>
    <w:rsid w:val="00BB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61"/>
    <w:pPr>
      <w:spacing w:after="220" w:line="240" w:lineRule="auto"/>
    </w:pPr>
    <w:rPr>
      <w:rFonts w:ascii="Futura Std Book" w:eastAsia="Times New Roman" w:hAnsi="Futura Std 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7561"/>
    <w:pPr>
      <w:tabs>
        <w:tab w:val="center" w:pos="4680"/>
        <w:tab w:val="right" w:pos="9360"/>
      </w:tabs>
      <w:spacing w:after="0"/>
    </w:pPr>
  </w:style>
  <w:style w:type="character" w:customStyle="1" w:styleId="HeaderChar">
    <w:name w:val="Header Char"/>
    <w:basedOn w:val="DefaultParagraphFont"/>
    <w:link w:val="Header"/>
    <w:uiPriority w:val="99"/>
    <w:rsid w:val="00367561"/>
    <w:rPr>
      <w:rFonts w:ascii="Futura Std Book" w:eastAsia="Times New Roman" w:hAnsi="Futura Std Book" w:cs="Times New Roman"/>
      <w:szCs w:val="24"/>
    </w:rPr>
  </w:style>
  <w:style w:type="paragraph" w:styleId="Footer">
    <w:name w:val="footer"/>
    <w:basedOn w:val="Normal"/>
    <w:link w:val="FooterChar"/>
    <w:uiPriority w:val="99"/>
    <w:unhideWhenUsed/>
    <w:rsid w:val="00367561"/>
    <w:pPr>
      <w:tabs>
        <w:tab w:val="center" w:pos="4680"/>
        <w:tab w:val="right" w:pos="9360"/>
      </w:tabs>
      <w:spacing w:after="0"/>
    </w:pPr>
  </w:style>
  <w:style w:type="character" w:customStyle="1" w:styleId="FooterChar">
    <w:name w:val="Footer Char"/>
    <w:basedOn w:val="DefaultParagraphFont"/>
    <w:link w:val="Footer"/>
    <w:uiPriority w:val="99"/>
    <w:rsid w:val="00367561"/>
    <w:rPr>
      <w:rFonts w:ascii="Futura Std Book" w:eastAsia="Times New Roman" w:hAnsi="Futura Std Book"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61"/>
    <w:pPr>
      <w:spacing w:after="220" w:line="240" w:lineRule="auto"/>
    </w:pPr>
    <w:rPr>
      <w:rFonts w:ascii="Futura Std Book" w:eastAsia="Times New Roman" w:hAnsi="Futura Std 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7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7561"/>
    <w:pPr>
      <w:tabs>
        <w:tab w:val="center" w:pos="4680"/>
        <w:tab w:val="right" w:pos="9360"/>
      </w:tabs>
      <w:spacing w:after="0"/>
    </w:pPr>
  </w:style>
  <w:style w:type="character" w:customStyle="1" w:styleId="HeaderChar">
    <w:name w:val="Header Char"/>
    <w:basedOn w:val="DefaultParagraphFont"/>
    <w:link w:val="Header"/>
    <w:uiPriority w:val="99"/>
    <w:rsid w:val="00367561"/>
    <w:rPr>
      <w:rFonts w:ascii="Futura Std Book" w:eastAsia="Times New Roman" w:hAnsi="Futura Std Book" w:cs="Times New Roman"/>
      <w:szCs w:val="24"/>
    </w:rPr>
  </w:style>
  <w:style w:type="paragraph" w:styleId="Footer">
    <w:name w:val="footer"/>
    <w:basedOn w:val="Normal"/>
    <w:link w:val="FooterChar"/>
    <w:uiPriority w:val="99"/>
    <w:unhideWhenUsed/>
    <w:rsid w:val="00367561"/>
    <w:pPr>
      <w:tabs>
        <w:tab w:val="center" w:pos="4680"/>
        <w:tab w:val="right" w:pos="9360"/>
      </w:tabs>
      <w:spacing w:after="0"/>
    </w:pPr>
  </w:style>
  <w:style w:type="character" w:customStyle="1" w:styleId="FooterChar">
    <w:name w:val="Footer Char"/>
    <w:basedOn w:val="DefaultParagraphFont"/>
    <w:link w:val="Footer"/>
    <w:uiPriority w:val="99"/>
    <w:rsid w:val="00367561"/>
    <w:rPr>
      <w:rFonts w:ascii="Futura Std Book" w:eastAsia="Times New Roman" w:hAnsi="Futura Std Boo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TCNJ</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New Jersey</dc:creator>
  <cp:lastModifiedBy>The College of New Jersey</cp:lastModifiedBy>
  <cp:revision>1</cp:revision>
  <dcterms:created xsi:type="dcterms:W3CDTF">2013-09-23T14:18:00Z</dcterms:created>
  <dcterms:modified xsi:type="dcterms:W3CDTF">2013-09-23T14:19:00Z</dcterms:modified>
</cp:coreProperties>
</file>