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C9" w:rsidRDefault="00026AC9" w:rsidP="00026AC9">
      <w:pPr>
        <w:spacing w:after="0"/>
        <w:ind w:left="-720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Sustainability Summit</w:t>
      </w:r>
    </w:p>
    <w:p w:rsidR="00026AC9" w:rsidRDefault="00026AC9" w:rsidP="00026AC9">
      <w:pPr>
        <w:spacing w:after="0"/>
        <w:rPr>
          <w:rFonts w:asciiTheme="minorHAnsi" w:hAnsiTheme="minorHAnsi"/>
          <w:b/>
          <w:sz w:val="28"/>
          <w:szCs w:val="28"/>
        </w:rPr>
      </w:pPr>
      <w:r w:rsidRPr="0066177D">
        <w:rPr>
          <w:rFonts w:asciiTheme="minorHAnsi" w:hAnsiTheme="minorHAnsi"/>
          <w:b/>
          <w:sz w:val="28"/>
          <w:szCs w:val="28"/>
        </w:rPr>
        <w:t xml:space="preserve">Preliminary </w:t>
      </w:r>
      <w:r>
        <w:rPr>
          <w:rFonts w:asciiTheme="minorHAnsi" w:hAnsiTheme="minorHAnsi"/>
          <w:b/>
          <w:sz w:val="28"/>
          <w:szCs w:val="28"/>
        </w:rPr>
        <w:t xml:space="preserve">Climate Change </w:t>
      </w:r>
      <w:r w:rsidRPr="0066177D">
        <w:rPr>
          <w:rFonts w:asciiTheme="minorHAnsi" w:hAnsiTheme="minorHAnsi"/>
          <w:b/>
          <w:sz w:val="28"/>
          <w:szCs w:val="28"/>
        </w:rPr>
        <w:t>Sustainability Indicators and Targets</w:t>
      </w:r>
      <w:r>
        <w:rPr>
          <w:rFonts w:asciiTheme="minorHAnsi" w:hAnsiTheme="minorHAnsi"/>
          <w:b/>
          <w:sz w:val="28"/>
          <w:szCs w:val="28"/>
        </w:rPr>
        <w:t xml:space="preserve">:  Participant Feedback Sheet                                                      </w:t>
      </w:r>
    </w:p>
    <w:p w:rsidR="00026AC9" w:rsidRDefault="00026AC9" w:rsidP="00026AC9">
      <w:pPr>
        <w:spacing w:after="0"/>
        <w:rPr>
          <w:rFonts w:asciiTheme="minorHAnsi" w:hAnsiTheme="minorHAnsi"/>
          <w:b/>
          <w:sz w:val="28"/>
          <w:szCs w:val="28"/>
        </w:rPr>
      </w:pPr>
    </w:p>
    <w:tbl>
      <w:tblPr>
        <w:tblW w:w="222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20"/>
        <w:gridCol w:w="6210"/>
        <w:gridCol w:w="7020"/>
      </w:tblGrid>
      <w:tr w:rsidR="00026AC9" w:rsidRPr="001302F5" w:rsidTr="00026AC9">
        <w:trPr>
          <w:tblHeader/>
        </w:trPr>
        <w:tc>
          <w:tcPr>
            <w:tcW w:w="3780" w:type="dxa"/>
            <w:tcBorders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6AC9" w:rsidRPr="00733D72" w:rsidRDefault="00026AC9" w:rsidP="00F543A7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Definition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6AC9" w:rsidRPr="00733D72" w:rsidRDefault="00026AC9" w:rsidP="00F543A7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733D72">
              <w:rPr>
                <w:rFonts w:ascii="Calibri" w:hAnsi="Calibri" w:cs="Calibri"/>
                <w:b/>
                <w:sz w:val="28"/>
                <w:szCs w:val="20"/>
              </w:rPr>
              <w:t>Preliminary Sustainability Indicators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26AC9" w:rsidRPr="00733D72" w:rsidRDefault="00026AC9" w:rsidP="00F543A7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733D72">
              <w:rPr>
                <w:rFonts w:ascii="Calibri" w:hAnsi="Calibri" w:cs="Calibri"/>
                <w:b/>
                <w:sz w:val="28"/>
                <w:szCs w:val="20"/>
              </w:rPr>
              <w:t>Preliminary Target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26AC9" w:rsidRPr="00733D72" w:rsidRDefault="00026AC9" w:rsidP="00F543A7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733D72">
              <w:rPr>
                <w:rFonts w:ascii="Calibri" w:hAnsi="Calibri" w:cs="Calibri"/>
                <w:b/>
                <w:sz w:val="28"/>
                <w:szCs w:val="20"/>
              </w:rPr>
              <w:t>Comments</w:t>
            </w:r>
          </w:p>
        </w:tc>
      </w:tr>
      <w:tr w:rsidR="00026AC9" w:rsidRPr="001302F5" w:rsidTr="00026AC9">
        <w:tc>
          <w:tcPr>
            <w:tcW w:w="3780" w:type="dxa"/>
          </w:tcPr>
          <w:p w:rsidR="00026AC9" w:rsidRPr="00E97A1A" w:rsidRDefault="00026AC9" w:rsidP="00F543A7">
            <w:pPr>
              <w:autoSpaceDE w:val="0"/>
              <w:autoSpaceDN w:val="0"/>
              <w:adjustRightInd w:val="0"/>
              <w:spacing w:after="0"/>
              <w:ind w:left="-18" w:firstLine="18"/>
              <w:rPr>
                <w:rFonts w:asciiTheme="minorHAnsi" w:hAnsiTheme="minorHAnsi" w:cstheme="minorHAnsi"/>
                <w:b/>
                <w:szCs w:val="22"/>
              </w:rPr>
            </w:pPr>
            <w:r w:rsidRPr="00E97A1A">
              <w:rPr>
                <w:rFonts w:asciiTheme="minorHAnsi" w:hAnsiTheme="minorHAnsi" w:cstheme="minorHAnsi"/>
                <w:b/>
                <w:szCs w:val="22"/>
              </w:rPr>
              <w:t>Natural Disasters</w:t>
            </w:r>
          </w:p>
          <w:p w:rsidR="00026AC9" w:rsidRPr="00E97A1A" w:rsidRDefault="00026AC9" w:rsidP="00F543A7">
            <w:pPr>
              <w:autoSpaceDE w:val="0"/>
              <w:autoSpaceDN w:val="0"/>
              <w:adjustRightInd w:val="0"/>
              <w:spacing w:after="0"/>
              <w:ind w:left="-14" w:firstLine="14"/>
              <w:rPr>
                <w:rFonts w:asciiTheme="minorHAnsi" w:hAnsiTheme="minorHAnsi" w:cstheme="minorHAnsi"/>
                <w:color w:val="231F20"/>
                <w:szCs w:val="22"/>
              </w:rPr>
            </w:pPr>
            <w:r w:rsidRPr="00E97A1A">
              <w:rPr>
                <w:rFonts w:asciiTheme="minorHAnsi" w:hAnsiTheme="minorHAnsi" w:cstheme="minorHAnsi"/>
                <w:color w:val="231F20"/>
                <w:szCs w:val="22"/>
              </w:rPr>
              <w:t>Sustainable public safety exists regarding natural disasters when land uses are located and constructed such that personal safety is routinely assured; infrastructure remains largely undamaged and resilient; property damages are minimized through avoidance of natural hazards; and damage that does occur from natural events is at levels that allows for effective resilience and can be afforded by public and private property owners and renters.</w:t>
            </w:r>
          </w:p>
        </w:tc>
        <w:tc>
          <w:tcPr>
            <w:tcW w:w="5220" w:type="dxa"/>
          </w:tcPr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Flood and storm surge areas delineated using </w:t>
            </w:r>
            <w:proofErr w:type="spellStart"/>
            <w:r w:rsidRPr="00E97A1A">
              <w:rPr>
                <w:rFonts w:asciiTheme="minorHAnsi" w:hAnsiTheme="minorHAnsi" w:cstheme="minorHAnsi"/>
                <w:szCs w:val="22"/>
              </w:rPr>
              <w:t>LiDAR</w:t>
            </w:r>
            <w:proofErr w:type="spellEnd"/>
            <w:r w:rsidRPr="00E97A1A">
              <w:rPr>
                <w:rFonts w:asciiTheme="minorHAnsi" w:hAnsiTheme="minorHAnsi" w:cstheme="minorHAnsi"/>
                <w:szCs w:val="22"/>
              </w:rPr>
              <w:t xml:space="preserve">-based topography, modern models, and V zone boundary “based on a 1.5-foot breaking wave rather than the present 3-foot wave.” (NRC, 2009)  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Infrastructure-specific targets (e.g., potential for electrical line damage). Development location and value in hazard areas.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Health statistics; emergency preparation, response and health care system capacity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Cost of risk insurance (all categories of natural hazards), property improvement and potential uninsured damage costs relative to household income and wealth</w:t>
            </w:r>
          </w:p>
        </w:tc>
        <w:tc>
          <w:tcPr>
            <w:tcW w:w="6210" w:type="dxa"/>
          </w:tcPr>
          <w:p w:rsidR="00026AC9" w:rsidRPr="00E97A1A" w:rsidRDefault="00026AC9" w:rsidP="00026AC9">
            <w:pPr>
              <w:numPr>
                <w:ilvl w:val="0"/>
                <w:numId w:val="1"/>
              </w:numPr>
              <w:spacing w:after="0"/>
              <w:ind w:left="5" w:hanging="535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Hazard areas are defined, delineated and regulated to minimize the potential for inadequate mitigation, and incorporate hydrologic changes related to climate change </w:t>
            </w:r>
          </w:p>
          <w:p w:rsidR="00026AC9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Disaster risk from flooding, wind and storm damage to infrastructure, improved properties and community resilience declines to levels allowing for rapid restoration of critical functions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Mortality, injury, and mental health effects decline, and appropri</w:t>
            </w:r>
            <w:r>
              <w:rPr>
                <w:rFonts w:asciiTheme="minorHAnsi" w:hAnsiTheme="minorHAnsi" w:cstheme="minorHAnsi"/>
                <w:szCs w:val="22"/>
              </w:rPr>
              <w:t>ate acute health care increase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 relative to event severity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Potential disaster damages are proportional to owner capacity for response and restoration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20" w:type="dxa"/>
          </w:tcPr>
          <w:p w:rsidR="00026AC9" w:rsidRPr="00733D72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bookmarkStart w:id="0" w:name="_GoBack"/>
        <w:bookmarkEnd w:id="0"/>
      </w:tr>
      <w:tr w:rsidR="00026AC9" w:rsidRPr="001302F5" w:rsidTr="00026AC9">
        <w:tc>
          <w:tcPr>
            <w:tcW w:w="3780" w:type="dxa"/>
          </w:tcPr>
          <w:p w:rsidR="00026AC9" w:rsidRPr="00E97A1A" w:rsidRDefault="00026AC9" w:rsidP="00F543A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b/>
                <w:szCs w:val="22"/>
              </w:rPr>
              <w:t>Water Resources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 (see also briefing papers on Water Availability, Water Quality, and Water Infrastructure)</w:t>
            </w:r>
          </w:p>
        </w:tc>
        <w:tc>
          <w:tcPr>
            <w:tcW w:w="5220" w:type="dxa"/>
          </w:tcPr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Percentage of reservoirs and watersheds/</w:t>
            </w:r>
            <w:proofErr w:type="spellStart"/>
            <w:r w:rsidRPr="00E97A1A">
              <w:rPr>
                <w:rFonts w:asciiTheme="minorHAnsi" w:hAnsiTheme="minorHAnsi" w:cstheme="minorHAnsi"/>
                <w:szCs w:val="22"/>
              </w:rPr>
              <w:t>subwatersheds</w:t>
            </w:r>
            <w:proofErr w:type="spellEnd"/>
            <w:r w:rsidRPr="00E97A1A">
              <w:rPr>
                <w:rFonts w:asciiTheme="minorHAnsi" w:hAnsiTheme="minorHAnsi" w:cstheme="minorHAnsi"/>
                <w:szCs w:val="22"/>
              </w:rPr>
              <w:t xml:space="preserve"> with modified calculations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Consumptive use rates (currently estimated at 29%)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Percentage of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storm</w:t>
            </w:r>
            <w:r w:rsidRPr="00E97A1A">
              <w:rPr>
                <w:rFonts w:asciiTheme="minorHAnsi" w:hAnsiTheme="minorHAnsi" w:cstheme="minorHAnsi"/>
                <w:szCs w:val="22"/>
              </w:rPr>
              <w:t>water</w:t>
            </w:r>
            <w:proofErr w:type="spellEnd"/>
            <w:r w:rsidRPr="00E97A1A">
              <w:rPr>
                <w:rFonts w:asciiTheme="minorHAnsi" w:hAnsiTheme="minorHAnsi" w:cstheme="minorHAnsi"/>
                <w:szCs w:val="22"/>
              </w:rPr>
              <w:t xml:space="preserve"> managed using “green infrastructure” techniques</w:t>
            </w:r>
          </w:p>
        </w:tc>
        <w:tc>
          <w:tcPr>
            <w:tcW w:w="6210" w:type="dxa"/>
          </w:tcPr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Safe yields and available capacity for reservoir systems and Net Water Availability from surficial aquifers incorporate hydrologic changes related to climate change 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Reduction of growing season consumptive water use as a percentage of total water use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I</w:t>
            </w:r>
            <w:r w:rsidRPr="00E97A1A">
              <w:rPr>
                <w:rFonts w:asciiTheme="minorHAnsi" w:hAnsiTheme="minorHAnsi" w:cstheme="minorHAnsi"/>
                <w:szCs w:val="22"/>
              </w:rPr>
              <w:t>ncrease Net Water Availability through restoration of ground water recharge using “green infrastructure” techniques</w:t>
            </w:r>
          </w:p>
        </w:tc>
        <w:tc>
          <w:tcPr>
            <w:tcW w:w="7020" w:type="dxa"/>
          </w:tcPr>
          <w:p w:rsidR="00026AC9" w:rsidRPr="00733D72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026AC9" w:rsidRPr="001302F5" w:rsidTr="00026AC9">
        <w:tc>
          <w:tcPr>
            <w:tcW w:w="3780" w:type="dxa"/>
          </w:tcPr>
          <w:p w:rsidR="00026AC9" w:rsidRPr="00E97A1A" w:rsidRDefault="00026AC9" w:rsidP="00F543A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 w:rsidRPr="00E97A1A">
              <w:rPr>
                <w:rFonts w:asciiTheme="minorHAnsi" w:hAnsiTheme="minorHAnsi" w:cstheme="minorHAnsi"/>
                <w:b/>
                <w:color w:val="231F20"/>
                <w:szCs w:val="22"/>
              </w:rPr>
              <w:t xml:space="preserve">Agriculture </w:t>
            </w:r>
            <w:r w:rsidRPr="00E97A1A">
              <w:rPr>
                <w:rFonts w:asciiTheme="minorHAnsi" w:hAnsiTheme="minorHAnsi" w:cstheme="minorHAnsi"/>
                <w:color w:val="231F20"/>
                <w:szCs w:val="22"/>
              </w:rPr>
              <w:t>(see also briefing paper on Agriculture and Food Security)</w:t>
            </w:r>
          </w:p>
        </w:tc>
        <w:tc>
          <w:tcPr>
            <w:tcW w:w="5220" w:type="dxa"/>
          </w:tcPr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Peak month demands per acre, growing season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Net Water Availability with seasonal agricultural demands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On-site water availability relative to estimated peak month demand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 xml:space="preserve">• 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Peak month demands per acre by crop type, growing season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Agricultural acres in IPM by crop type</w:t>
            </w:r>
          </w:p>
        </w:tc>
        <w:tc>
          <w:tcPr>
            <w:tcW w:w="6210" w:type="dxa"/>
          </w:tcPr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Estimated peak irrigation demands incorporate soil moisture deficits reflecting effects of climate change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 xml:space="preserve">Agricultural water demands during drought periods do not exceed Net Water Availability for </w:t>
            </w:r>
            <w:r>
              <w:rPr>
                <w:rFonts w:asciiTheme="minorHAnsi" w:hAnsiTheme="minorHAnsi" w:cstheme="minorHAnsi"/>
                <w:szCs w:val="22"/>
              </w:rPr>
              <w:t>w</w:t>
            </w:r>
            <w:r w:rsidRPr="00E97A1A">
              <w:rPr>
                <w:rFonts w:asciiTheme="minorHAnsi" w:hAnsiTheme="minorHAnsi" w:cstheme="minorHAnsi"/>
                <w:szCs w:val="22"/>
              </w:rPr>
              <w:t>atersheds/</w:t>
            </w:r>
            <w:proofErr w:type="spellStart"/>
            <w:r w:rsidRPr="00E97A1A">
              <w:rPr>
                <w:rFonts w:asciiTheme="minorHAnsi" w:hAnsiTheme="minorHAnsi" w:cstheme="minorHAnsi"/>
                <w:szCs w:val="22"/>
              </w:rPr>
              <w:t>subwatersheds</w:t>
            </w:r>
            <w:proofErr w:type="spellEnd"/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On-farm water storage or supply availability to offset loss or constraints on ground or surface water supplies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Farm crop choices reflect temperature, soil moisture and rainfall effects of climate change</w:t>
            </w:r>
          </w:p>
          <w:p w:rsidR="00026AC9" w:rsidRPr="00E97A1A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Cs w:val="22"/>
              </w:rPr>
            </w:pPr>
            <w:r w:rsidRPr="00E97A1A">
              <w:rPr>
                <w:rFonts w:asciiTheme="minorHAnsi" w:hAnsiTheme="minorHAnsi" w:cstheme="minorHAnsi"/>
                <w:szCs w:val="22"/>
              </w:rPr>
              <w:t>•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7A1A">
              <w:rPr>
                <w:rFonts w:asciiTheme="minorHAnsi" w:hAnsiTheme="minorHAnsi" w:cstheme="minorHAnsi"/>
                <w:szCs w:val="22"/>
              </w:rPr>
              <w:t>Monitoring and integrated pest management regarding pest migration with climate change</w:t>
            </w:r>
          </w:p>
        </w:tc>
        <w:tc>
          <w:tcPr>
            <w:tcW w:w="7020" w:type="dxa"/>
          </w:tcPr>
          <w:p w:rsidR="00026AC9" w:rsidRPr="00733D72" w:rsidRDefault="00026AC9" w:rsidP="00F543A7">
            <w:pPr>
              <w:spacing w:after="0"/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026AC9" w:rsidRDefault="00026AC9" w:rsidP="00026AC9">
      <w:pPr>
        <w:rPr>
          <w:rFonts w:asciiTheme="minorHAnsi" w:hAnsiTheme="minorHAnsi"/>
        </w:rPr>
      </w:pPr>
    </w:p>
    <w:p w:rsidR="00026AC9" w:rsidRPr="007F1CF4" w:rsidRDefault="00026AC9" w:rsidP="00026AC9">
      <w:pPr>
        <w:rPr>
          <w:rFonts w:ascii="Calibri" w:hAnsi="Calibri"/>
          <w:sz w:val="20"/>
          <w:szCs w:val="20"/>
        </w:rPr>
      </w:pPr>
      <w:r>
        <w:rPr>
          <w:rFonts w:asciiTheme="minorHAnsi" w:hAnsiTheme="minorHAnsi"/>
        </w:rPr>
        <w:t>Please use back of page to list any aspects of the topic missing or other appropriate indicators or targets that should be explored.</w:t>
      </w:r>
    </w:p>
    <w:p w:rsidR="00BB6353" w:rsidRDefault="00BB6353"/>
    <w:sectPr w:rsidR="00BB6353" w:rsidSect="00026AC9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AAA"/>
    <w:multiLevelType w:val="hybridMultilevel"/>
    <w:tmpl w:val="88A0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C9"/>
    <w:rsid w:val="00026AC9"/>
    <w:rsid w:val="00B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C9"/>
    <w:pPr>
      <w:spacing w:after="220" w:line="240" w:lineRule="auto"/>
    </w:pPr>
    <w:rPr>
      <w:rFonts w:ascii="Futura Std Book" w:eastAsia="Times New Roman" w:hAnsi="Futura Std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C9"/>
    <w:pPr>
      <w:spacing w:after="220" w:line="240" w:lineRule="auto"/>
    </w:pPr>
    <w:rPr>
      <w:rFonts w:ascii="Futura Std Book" w:eastAsia="Times New Roman" w:hAnsi="Futura Std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87FD-A62D-41CA-A10D-550C0B70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2013-09-23T14:17:00Z</dcterms:created>
  <dcterms:modified xsi:type="dcterms:W3CDTF">2013-09-23T14:17:00Z</dcterms:modified>
</cp:coreProperties>
</file>